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9A" w:rsidRDefault="00F0779A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F0779A" w:rsidRPr="00F0779A" w:rsidRDefault="00F0779A" w:rsidP="00F0779A">
      <w:pPr>
        <w:rPr>
          <w:rFonts w:ascii="Times New Roman" w:eastAsia="Times New Roman" w:hAnsi="Times New Roman" w:cs="Times New Roman"/>
        </w:rPr>
      </w:pPr>
      <w:r w:rsidRPr="00F0779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107055" cy="1185545"/>
            <wp:effectExtent l="0" t="0" r="0" b="8255"/>
            <wp:docPr id="1" name="Picture 1" descr="https://hudoc.echr.coe.int/images/ent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udoc.echr.coe.int/images/ente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9A" w:rsidRDefault="00F0779A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F0779A" w:rsidRDefault="00F0779A" w:rsidP="00F0779A">
      <w:pPr>
        <w:pStyle w:val="s7d81cfef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sfbbfee58"/>
          <w:rFonts w:ascii="Arial" w:hAnsi="Arial" w:cs="Arial"/>
          <w:color w:val="000000"/>
          <w:sz w:val="20"/>
          <w:szCs w:val="20"/>
        </w:rPr>
        <w:t>Information Note on the Court’s case-law 221</w:t>
      </w:r>
    </w:p>
    <w:p w:rsidR="00F0779A" w:rsidRDefault="00F0779A" w:rsidP="00F0779A">
      <w:pPr>
        <w:pStyle w:val="s68afa200"/>
        <w:pBdr>
          <w:bottom w:val="single" w:sz="6" w:space="1" w:color="000000"/>
        </w:pBdr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sfbbfee58"/>
          <w:rFonts w:ascii="Arial" w:hAnsi="Arial" w:cs="Arial"/>
          <w:color w:val="000000"/>
          <w:sz w:val="20"/>
          <w:szCs w:val="20"/>
        </w:rPr>
        <w:t>August-September 2018</w:t>
      </w:r>
    </w:p>
    <w:p w:rsidR="00F0779A" w:rsidRDefault="00F0779A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F0779A" w:rsidRDefault="00F0779A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7264BC" w:rsidRDefault="00A41CB3" w:rsidP="00F37008">
      <w:pPr>
        <w:jc w:val="both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  <w:lang w:val="hy-AM"/>
        </w:rPr>
        <w:t xml:space="preserve">Դենիսովն ընդդեմ Ուկրաինայի </w:t>
      </w:r>
      <w:r>
        <w:rPr>
          <w:rFonts w:ascii="Sylfaen" w:hAnsi="Sylfaen"/>
          <w:sz w:val="36"/>
          <w:szCs w:val="36"/>
        </w:rPr>
        <w:t>[GC]-76639/11</w:t>
      </w:r>
    </w:p>
    <w:p w:rsidR="00A41CB3" w:rsidRDefault="00A41CB3" w:rsidP="00F37008">
      <w:pPr>
        <w:jc w:val="both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  <w:lang w:val="hy-AM"/>
        </w:rPr>
        <w:t xml:space="preserve">Վճիռ </w:t>
      </w:r>
      <w:r w:rsidR="00771B13">
        <w:rPr>
          <w:rFonts w:ascii="Sylfaen" w:hAnsi="Sylfaen"/>
          <w:sz w:val="36"/>
          <w:szCs w:val="36"/>
        </w:rPr>
        <w:t>25.9.2018 [GC]</w:t>
      </w:r>
    </w:p>
    <w:p w:rsidR="00771B13" w:rsidRDefault="00771B13" w:rsidP="00F37008">
      <w:pPr>
        <w:jc w:val="both"/>
        <w:rPr>
          <w:rFonts w:ascii="Sylfaen" w:hAnsi="Sylfaen"/>
          <w:sz w:val="36"/>
          <w:szCs w:val="36"/>
        </w:rPr>
      </w:pPr>
    </w:p>
    <w:p w:rsidR="00771B13" w:rsidRDefault="006C742E" w:rsidP="00F37008">
      <w:pPr>
        <w:jc w:val="both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  <w:lang w:val="hy-AM"/>
        </w:rPr>
        <w:t>8-րդ հո</w:t>
      </w:r>
      <w:r w:rsidR="00771B13">
        <w:rPr>
          <w:rFonts w:ascii="Sylfaen" w:hAnsi="Sylfaen"/>
          <w:sz w:val="36"/>
          <w:szCs w:val="36"/>
          <w:lang w:val="hy-AM"/>
        </w:rPr>
        <w:t>դված</w:t>
      </w:r>
    </w:p>
    <w:p w:rsidR="00771B13" w:rsidRDefault="006C742E" w:rsidP="00F37008">
      <w:pPr>
        <w:jc w:val="both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  <w:lang w:val="hy-AM"/>
        </w:rPr>
        <w:t>8-րդ հ</w:t>
      </w:r>
      <w:r w:rsidR="00771B13">
        <w:rPr>
          <w:rFonts w:ascii="Sylfaen" w:hAnsi="Sylfaen"/>
          <w:sz w:val="36"/>
          <w:szCs w:val="36"/>
          <w:lang w:val="hy-AM"/>
        </w:rPr>
        <w:t>ոդված</w:t>
      </w:r>
      <w:r>
        <w:rPr>
          <w:rFonts w:ascii="Sylfaen" w:hAnsi="Sylfaen"/>
          <w:sz w:val="36"/>
          <w:szCs w:val="36"/>
          <w:lang w:val="hy-AM"/>
        </w:rPr>
        <w:t>ի</w:t>
      </w:r>
      <w:r w:rsidR="00771B13">
        <w:rPr>
          <w:rFonts w:ascii="Sylfaen" w:hAnsi="Sylfaen"/>
          <w:sz w:val="36"/>
          <w:szCs w:val="36"/>
        </w:rPr>
        <w:t>1</w:t>
      </w:r>
      <w:r>
        <w:rPr>
          <w:rFonts w:ascii="Sylfaen" w:hAnsi="Sylfaen"/>
          <w:sz w:val="36"/>
          <w:szCs w:val="36"/>
        </w:rPr>
        <w:t xml:space="preserve">-ին </w:t>
      </w:r>
      <w:proofErr w:type="spellStart"/>
      <w:r>
        <w:rPr>
          <w:rFonts w:ascii="Sylfaen" w:hAnsi="Sylfaen"/>
          <w:sz w:val="36"/>
          <w:szCs w:val="36"/>
        </w:rPr>
        <w:t>մաս</w:t>
      </w:r>
      <w:proofErr w:type="spellEnd"/>
    </w:p>
    <w:p w:rsidR="00F37008" w:rsidRDefault="00F37008" w:rsidP="00F37008">
      <w:pPr>
        <w:jc w:val="both"/>
        <w:rPr>
          <w:rFonts w:ascii="Sylfaen" w:hAnsi="Sylfaen"/>
          <w:sz w:val="36"/>
          <w:szCs w:val="36"/>
        </w:rPr>
      </w:pPr>
    </w:p>
    <w:p w:rsidR="00771B13" w:rsidRDefault="008B2D29" w:rsidP="00F37008">
      <w:pPr>
        <w:jc w:val="both"/>
        <w:rPr>
          <w:rFonts w:ascii="Sylfaen" w:hAnsi="Sylfaen"/>
          <w:b/>
          <w:i/>
          <w:sz w:val="36"/>
          <w:szCs w:val="36"/>
          <w:lang w:val="hy-AM"/>
        </w:rPr>
      </w:pPr>
      <w:r w:rsidRPr="00F37008">
        <w:rPr>
          <w:rFonts w:ascii="Sylfaen" w:hAnsi="Sylfaen"/>
          <w:b/>
          <w:i/>
          <w:sz w:val="36"/>
          <w:szCs w:val="36"/>
          <w:lang w:val="hy-AM"/>
        </w:rPr>
        <w:t>Անձնական և ընտանեկան կյանքը հարգելու իրավունք</w:t>
      </w:r>
    </w:p>
    <w:p w:rsidR="00F37008" w:rsidRPr="00F37008" w:rsidRDefault="00F37008" w:rsidP="00F37008">
      <w:pPr>
        <w:jc w:val="both"/>
        <w:rPr>
          <w:rFonts w:ascii="Sylfaen" w:hAnsi="Sylfaen"/>
          <w:b/>
          <w:i/>
          <w:sz w:val="36"/>
          <w:szCs w:val="36"/>
          <w:lang w:val="hy-AM"/>
        </w:rPr>
      </w:pPr>
    </w:p>
    <w:p w:rsidR="008B2D29" w:rsidRDefault="008B2D29" w:rsidP="00F37008">
      <w:pPr>
        <w:jc w:val="both"/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Վերաքննիչ դատարանի նախագահի պաշտոնից </w:t>
      </w:r>
      <w:r w:rsidR="006B45D8">
        <w:rPr>
          <w:rFonts w:ascii="Sylfaen" w:hAnsi="Sylfaen"/>
          <w:sz w:val="36"/>
          <w:szCs w:val="36"/>
          <w:lang w:val="hy-AM"/>
        </w:rPr>
        <w:t>դա</w:t>
      </w:r>
      <w:r w:rsidR="006B45D8" w:rsidRPr="006B45D8">
        <w:rPr>
          <w:rFonts w:ascii="Sylfaen" w:hAnsi="Sylfaen"/>
          <w:sz w:val="36"/>
          <w:szCs w:val="36"/>
          <w:lang w:val="hy-AM"/>
        </w:rPr>
        <w:t>տ</w:t>
      </w:r>
      <w:r>
        <w:rPr>
          <w:rFonts w:ascii="Sylfaen" w:hAnsi="Sylfaen"/>
          <w:sz w:val="36"/>
          <w:szCs w:val="36"/>
          <w:lang w:val="hy-AM"/>
        </w:rPr>
        <w:t>ա</w:t>
      </w:r>
      <w:r w:rsidR="007D698B">
        <w:rPr>
          <w:rFonts w:ascii="Sylfaen" w:hAnsi="Sylfaen"/>
          <w:sz w:val="36"/>
          <w:szCs w:val="36"/>
          <w:lang w:val="hy-AM"/>
        </w:rPr>
        <w:t>վորի</w:t>
      </w:r>
      <w:r>
        <w:rPr>
          <w:rFonts w:ascii="Sylfaen" w:hAnsi="Sylfaen"/>
          <w:sz w:val="36"/>
          <w:szCs w:val="36"/>
          <w:lang w:val="hy-AM"/>
        </w:rPr>
        <w:t xml:space="preserve"> ազատում</w:t>
      </w:r>
      <w:r w:rsidR="007D698B">
        <w:rPr>
          <w:rFonts w:ascii="Sylfaen" w:hAnsi="Sylfaen"/>
          <w:sz w:val="36"/>
          <w:szCs w:val="36"/>
          <w:lang w:val="hy-AM"/>
        </w:rPr>
        <w:t>՝</w:t>
      </w:r>
      <w:r>
        <w:rPr>
          <w:rFonts w:ascii="Sylfaen" w:hAnsi="Sylfaen"/>
          <w:sz w:val="36"/>
          <w:szCs w:val="36"/>
          <w:lang w:val="hy-AM"/>
        </w:rPr>
        <w:t xml:space="preserve"> վարչական պարտականությունների ոչ պատշաճ կատարման պատճառով. 8-րդ հոդվածի անկիրառելիություն, անընդունելիություն</w:t>
      </w:r>
    </w:p>
    <w:p w:rsidR="008B2D29" w:rsidRDefault="008B2D29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F25F4E" w:rsidRDefault="008B2D29" w:rsidP="00F37008">
      <w:pPr>
        <w:jc w:val="both"/>
        <w:rPr>
          <w:rFonts w:ascii="Sylfaen" w:hAnsi="Sylfaen"/>
          <w:sz w:val="36"/>
          <w:szCs w:val="36"/>
          <w:lang w:val="hy-AM"/>
        </w:rPr>
      </w:pPr>
      <w:r w:rsidRPr="007D698B">
        <w:rPr>
          <w:rFonts w:ascii="Sylfaen" w:hAnsi="Sylfaen"/>
          <w:b/>
          <w:i/>
          <w:sz w:val="36"/>
          <w:szCs w:val="36"/>
          <w:lang w:val="hy-AM"/>
        </w:rPr>
        <w:t>Փաստեր</w:t>
      </w:r>
      <w:r>
        <w:rPr>
          <w:rFonts w:ascii="Sylfaen" w:hAnsi="Sylfaen"/>
          <w:sz w:val="36"/>
          <w:szCs w:val="36"/>
          <w:lang w:val="hy-AM"/>
        </w:rPr>
        <w:t xml:space="preserve"> – Դիմողն ազատվել է Կիևի Վերաքննիչ դատարանի նախագահի պաշտոնից</w:t>
      </w:r>
      <w:r w:rsidR="006B45D8" w:rsidRPr="006B45D8">
        <w:rPr>
          <w:rFonts w:ascii="Sylfaen" w:hAnsi="Sylfaen"/>
          <w:sz w:val="36"/>
          <w:szCs w:val="36"/>
          <w:lang w:val="hy-AM"/>
        </w:rPr>
        <w:t xml:space="preserve"> </w:t>
      </w:r>
      <w:r w:rsidR="007D698B">
        <w:rPr>
          <w:rFonts w:ascii="Sylfaen" w:hAnsi="Sylfaen"/>
          <w:sz w:val="36"/>
          <w:szCs w:val="36"/>
          <w:lang w:val="hy-AM"/>
        </w:rPr>
        <w:t>իր</w:t>
      </w:r>
      <w:r w:rsidR="00F25F4E">
        <w:rPr>
          <w:rFonts w:ascii="Sylfaen" w:hAnsi="Sylfaen"/>
          <w:sz w:val="36"/>
          <w:szCs w:val="36"/>
          <w:lang w:val="hy-AM"/>
        </w:rPr>
        <w:t xml:space="preserve"> վարչական պարտականությունները ոչ պատշաճ կատարելու պատճառով։ Նա շարունակել է աշխատել նույն </w:t>
      </w:r>
      <w:r w:rsidR="00F25F4E">
        <w:rPr>
          <w:rFonts w:ascii="Sylfaen" w:hAnsi="Sylfaen"/>
          <w:sz w:val="36"/>
          <w:szCs w:val="36"/>
          <w:lang w:val="hy-AM"/>
        </w:rPr>
        <w:lastRenderedPageBreak/>
        <w:t xml:space="preserve">դատարանի դատավորի պաշտոնում։  Նա բողոքել է, </w:t>
      </w:r>
      <w:r w:rsidR="00F25F4E" w:rsidRPr="006B45D8">
        <w:rPr>
          <w:rFonts w:ascii="Sylfaen" w:hAnsi="Sylfaen"/>
          <w:sz w:val="36"/>
          <w:szCs w:val="36"/>
          <w:lang w:val="hy-AM"/>
        </w:rPr>
        <w:t xml:space="preserve">inter alia, </w:t>
      </w:r>
      <w:r w:rsidR="00F25F4E">
        <w:rPr>
          <w:rFonts w:ascii="Sylfaen" w:hAnsi="Sylfaen"/>
          <w:sz w:val="36"/>
          <w:szCs w:val="36"/>
          <w:lang w:val="hy-AM"/>
        </w:rPr>
        <w:t>որ իրեն պաշտոնից ազատելն ա</w:t>
      </w:r>
      <w:r w:rsidR="007D698B">
        <w:rPr>
          <w:rFonts w:ascii="Sylfaen" w:hAnsi="Sylfaen"/>
          <w:sz w:val="36"/>
          <w:szCs w:val="36"/>
          <w:lang w:val="hy-AM"/>
        </w:rPr>
        <w:t>ռ</w:t>
      </w:r>
      <w:r w:rsidR="00F25F4E">
        <w:rPr>
          <w:rFonts w:ascii="Sylfaen" w:hAnsi="Sylfaen"/>
          <w:sz w:val="36"/>
          <w:szCs w:val="36"/>
          <w:lang w:val="hy-AM"/>
        </w:rPr>
        <w:t xml:space="preserve">աջ է բերել ապօրինի և ոչ իրավաչափ միջամտություն իր անձնական կյանքին՝ ի խախտումն Կոնվենցիայի </w:t>
      </w:r>
      <w:r w:rsidR="00F25F4E" w:rsidRPr="006B45D8">
        <w:rPr>
          <w:rFonts w:ascii="Sylfaen" w:hAnsi="Sylfaen"/>
          <w:sz w:val="36"/>
          <w:szCs w:val="36"/>
          <w:lang w:val="hy-AM"/>
        </w:rPr>
        <w:t>8-</w:t>
      </w:r>
      <w:r w:rsidR="00F25F4E">
        <w:rPr>
          <w:rFonts w:ascii="Sylfaen" w:hAnsi="Sylfaen"/>
          <w:sz w:val="36"/>
          <w:szCs w:val="36"/>
          <w:lang w:val="hy-AM"/>
        </w:rPr>
        <w:t>րդ հոդվածի։</w:t>
      </w:r>
    </w:p>
    <w:p w:rsidR="00F25F4E" w:rsidRDefault="00F25F4E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F25F4E" w:rsidRDefault="00F25F4E" w:rsidP="00F37008">
      <w:pPr>
        <w:jc w:val="both"/>
        <w:rPr>
          <w:rFonts w:ascii="Sylfaen" w:hAnsi="Sylfaen"/>
          <w:sz w:val="36"/>
          <w:szCs w:val="36"/>
        </w:rPr>
      </w:pPr>
      <w:r w:rsidRPr="007D698B">
        <w:rPr>
          <w:rFonts w:ascii="Sylfaen" w:hAnsi="Sylfaen"/>
          <w:b/>
          <w:i/>
          <w:sz w:val="36"/>
          <w:szCs w:val="36"/>
          <w:lang w:val="hy-AM"/>
        </w:rPr>
        <w:t>Իրավունքի հարցեր</w:t>
      </w:r>
      <w:r>
        <w:rPr>
          <w:rFonts w:ascii="Sylfaen" w:hAnsi="Sylfaen"/>
          <w:sz w:val="36"/>
          <w:szCs w:val="36"/>
          <w:lang w:val="hy-AM"/>
        </w:rPr>
        <w:t>-</w:t>
      </w:r>
      <w:r w:rsidRPr="006B45D8">
        <w:rPr>
          <w:rFonts w:ascii="Sylfaen" w:hAnsi="Sylfaen"/>
          <w:sz w:val="36"/>
          <w:szCs w:val="36"/>
          <w:lang w:val="hy-AM"/>
        </w:rPr>
        <w:t>8</w:t>
      </w:r>
      <w:r>
        <w:rPr>
          <w:rFonts w:ascii="Sylfaen" w:hAnsi="Sylfaen"/>
          <w:sz w:val="36"/>
          <w:szCs w:val="36"/>
          <w:lang w:val="hy-AM"/>
        </w:rPr>
        <w:t>-րդ հոդված (կիրառելիություն</w:t>
      </w:r>
      <w:r w:rsidRPr="006B45D8">
        <w:rPr>
          <w:rFonts w:ascii="Sylfaen" w:hAnsi="Sylfaen"/>
          <w:sz w:val="36"/>
          <w:szCs w:val="36"/>
          <w:lang w:val="hy-AM"/>
        </w:rPr>
        <w:t xml:space="preserve">). </w:t>
      </w:r>
      <w:r>
        <w:rPr>
          <w:rFonts w:ascii="Sylfaen" w:hAnsi="Sylfaen"/>
          <w:sz w:val="36"/>
          <w:szCs w:val="36"/>
          <w:lang w:val="hy-AM"/>
        </w:rPr>
        <w:t xml:space="preserve">Քանի որ կիրառելիության հարցը եղել է Դատարանի իրավասության ներքո լուծման </w:t>
      </w:r>
      <w:r w:rsidR="007D698B">
        <w:rPr>
          <w:rFonts w:ascii="Sylfaen" w:hAnsi="Sylfaen"/>
          <w:sz w:val="36"/>
          <w:szCs w:val="36"/>
          <w:lang w:val="hy-AM"/>
        </w:rPr>
        <w:t>ենթ</w:t>
      </w:r>
      <w:r>
        <w:rPr>
          <w:rFonts w:ascii="Sylfaen" w:hAnsi="Sylfaen"/>
          <w:sz w:val="36"/>
          <w:szCs w:val="36"/>
          <w:lang w:val="hy-AM"/>
        </w:rPr>
        <w:t>ակա հարց</w:t>
      </w:r>
      <w:r w:rsidR="007D698B">
        <w:rPr>
          <w:rFonts w:ascii="Sylfaen" w:hAnsi="Sylfaen"/>
          <w:sz w:val="36"/>
          <w:szCs w:val="36"/>
          <w:lang w:val="hy-AM"/>
        </w:rPr>
        <w:t>,</w:t>
      </w:r>
      <w:r w:rsidRPr="006B45D8">
        <w:rPr>
          <w:rFonts w:ascii="Sylfaen" w:hAnsi="Sylfaen"/>
          <w:sz w:val="36"/>
          <w:szCs w:val="36"/>
          <w:lang w:val="hy-AM"/>
        </w:rPr>
        <w:t xml:space="preserve">ratione materiae, </w:t>
      </w:r>
      <w:r w:rsidR="00264A6C" w:rsidRPr="006B45D8">
        <w:rPr>
          <w:rFonts w:ascii="Sylfaen" w:hAnsi="Sylfaen"/>
          <w:sz w:val="36"/>
          <w:szCs w:val="36"/>
          <w:lang w:val="hy-AM"/>
        </w:rPr>
        <w:t>պետք է ապահովվեր բողոքները քննելու գլխավոր կանոնի պահպանումը, ինչպես նաև պետք է իրականացվեին համապատասխան դիտարկումներ վարչական փուլում</w:t>
      </w:r>
      <w:r w:rsidR="007A320A" w:rsidRPr="006B45D8">
        <w:rPr>
          <w:rFonts w:ascii="Sylfaen" w:hAnsi="Sylfaen"/>
          <w:sz w:val="36"/>
          <w:szCs w:val="36"/>
          <w:lang w:val="hy-AM"/>
        </w:rPr>
        <w:t>։</w:t>
      </w:r>
      <w:r w:rsidR="00A456FD" w:rsidRPr="006B45D8">
        <w:rPr>
          <w:rFonts w:ascii="Sylfaen" w:hAnsi="Sylfaen"/>
          <w:sz w:val="36"/>
          <w:szCs w:val="36"/>
          <w:lang w:val="hy-AM"/>
        </w:rPr>
        <w:t xml:space="preserve"> </w:t>
      </w:r>
      <w:proofErr w:type="spellStart"/>
      <w:r w:rsidR="00A456FD">
        <w:rPr>
          <w:rFonts w:ascii="Sylfaen" w:hAnsi="Sylfaen"/>
          <w:sz w:val="36"/>
          <w:szCs w:val="36"/>
        </w:rPr>
        <w:t>Դիմողի</w:t>
      </w:r>
      <w:proofErr w:type="spellEnd"/>
      <w:r w:rsidR="00A456FD">
        <w:rPr>
          <w:rFonts w:ascii="Sylfaen" w:hAnsi="Sylfaen"/>
          <w:sz w:val="36"/>
          <w:szCs w:val="36"/>
        </w:rPr>
        <w:t xml:space="preserve"> </w:t>
      </w:r>
      <w:proofErr w:type="spellStart"/>
      <w:r w:rsidR="00A456FD">
        <w:rPr>
          <w:rFonts w:ascii="Sylfaen" w:hAnsi="Sylfaen"/>
          <w:sz w:val="36"/>
          <w:szCs w:val="36"/>
        </w:rPr>
        <w:t>գործով</w:t>
      </w:r>
      <w:proofErr w:type="spellEnd"/>
      <w:r w:rsidR="00A456FD">
        <w:rPr>
          <w:rFonts w:ascii="Sylfaen" w:hAnsi="Sylfaen"/>
          <w:sz w:val="36"/>
          <w:szCs w:val="36"/>
        </w:rPr>
        <w:t xml:space="preserve"> </w:t>
      </w:r>
      <w:proofErr w:type="spellStart"/>
      <w:r w:rsidR="00A456FD">
        <w:rPr>
          <w:rFonts w:ascii="Sylfaen" w:hAnsi="Sylfaen"/>
          <w:sz w:val="36"/>
          <w:szCs w:val="36"/>
        </w:rPr>
        <w:t>որևէ</w:t>
      </w:r>
      <w:proofErr w:type="spellEnd"/>
      <w:r w:rsidR="00A456FD">
        <w:rPr>
          <w:rFonts w:ascii="Sylfaen" w:hAnsi="Sylfaen"/>
          <w:sz w:val="36"/>
          <w:szCs w:val="36"/>
        </w:rPr>
        <w:t xml:space="preserve"> </w:t>
      </w:r>
      <w:proofErr w:type="spellStart"/>
      <w:r w:rsidR="00A456FD">
        <w:rPr>
          <w:rFonts w:ascii="Sylfaen" w:hAnsi="Sylfaen"/>
          <w:sz w:val="36"/>
          <w:szCs w:val="36"/>
        </w:rPr>
        <w:t>նման</w:t>
      </w:r>
      <w:proofErr w:type="spellEnd"/>
      <w:r w:rsidR="00A456FD">
        <w:rPr>
          <w:rFonts w:ascii="Sylfaen" w:hAnsi="Sylfaen"/>
          <w:sz w:val="36"/>
          <w:szCs w:val="36"/>
        </w:rPr>
        <w:t xml:space="preserve"> </w:t>
      </w:r>
      <w:proofErr w:type="spellStart"/>
      <w:r w:rsidR="00A456FD">
        <w:rPr>
          <w:rFonts w:ascii="Sylfaen" w:hAnsi="Sylfaen"/>
          <w:sz w:val="36"/>
          <w:szCs w:val="36"/>
        </w:rPr>
        <w:t>պատճառ</w:t>
      </w:r>
      <w:proofErr w:type="spellEnd"/>
      <w:r w:rsidR="00A456FD">
        <w:rPr>
          <w:rFonts w:ascii="Sylfaen" w:hAnsi="Sylfaen"/>
          <w:sz w:val="36"/>
          <w:szCs w:val="36"/>
        </w:rPr>
        <w:t xml:space="preserve"> </w:t>
      </w:r>
      <w:proofErr w:type="spellStart"/>
      <w:r w:rsidR="00A456FD">
        <w:rPr>
          <w:rFonts w:ascii="Sylfaen" w:hAnsi="Sylfaen"/>
          <w:sz w:val="36"/>
          <w:szCs w:val="36"/>
        </w:rPr>
        <w:t>չի</w:t>
      </w:r>
      <w:proofErr w:type="spellEnd"/>
      <w:r w:rsidR="00A456FD">
        <w:rPr>
          <w:rFonts w:ascii="Sylfaen" w:hAnsi="Sylfaen"/>
          <w:sz w:val="36"/>
          <w:szCs w:val="36"/>
        </w:rPr>
        <w:t xml:space="preserve"> </w:t>
      </w:r>
      <w:proofErr w:type="spellStart"/>
      <w:r w:rsidR="00A456FD">
        <w:rPr>
          <w:rFonts w:ascii="Sylfaen" w:hAnsi="Sylfaen"/>
          <w:sz w:val="36"/>
          <w:szCs w:val="36"/>
        </w:rPr>
        <w:t>եղել</w:t>
      </w:r>
      <w:proofErr w:type="spellEnd"/>
      <w:r w:rsidR="00A456FD">
        <w:rPr>
          <w:rFonts w:ascii="Sylfaen" w:hAnsi="Sylfaen"/>
          <w:sz w:val="36"/>
          <w:szCs w:val="36"/>
        </w:rPr>
        <w:t>։</w:t>
      </w:r>
    </w:p>
    <w:p w:rsidR="00A456FD" w:rsidRDefault="00A456FD" w:rsidP="00F37008">
      <w:pPr>
        <w:jc w:val="both"/>
        <w:rPr>
          <w:rFonts w:ascii="Sylfaen" w:hAnsi="Sylfaen"/>
          <w:sz w:val="36"/>
          <w:szCs w:val="36"/>
        </w:rPr>
      </w:pPr>
    </w:p>
    <w:p w:rsidR="00A456FD" w:rsidRDefault="00A456FD" w:rsidP="00F37008">
      <w:pPr>
        <w:jc w:val="both"/>
        <w:rPr>
          <w:rFonts w:ascii="Sylfaen" w:hAnsi="Sylfaen"/>
          <w:sz w:val="36"/>
          <w:szCs w:val="36"/>
          <w:lang w:val="hy-AM"/>
        </w:rPr>
      </w:pPr>
      <w:r w:rsidRPr="007D698B">
        <w:rPr>
          <w:rFonts w:ascii="Sylfaen" w:hAnsi="Sylfaen"/>
          <w:b/>
          <w:i/>
          <w:sz w:val="36"/>
          <w:szCs w:val="36"/>
        </w:rPr>
        <w:t>(</w:t>
      </w:r>
      <w:r w:rsidRPr="007D698B">
        <w:rPr>
          <w:rFonts w:ascii="Sylfaen" w:hAnsi="Sylfaen"/>
          <w:b/>
          <w:i/>
          <w:sz w:val="36"/>
          <w:szCs w:val="36"/>
          <w:lang w:val="hy-AM"/>
        </w:rPr>
        <w:t>ա</w:t>
      </w:r>
      <w:r w:rsidRPr="007D698B">
        <w:rPr>
          <w:rFonts w:ascii="Sylfaen" w:hAnsi="Sylfaen"/>
          <w:b/>
          <w:i/>
          <w:sz w:val="36"/>
          <w:szCs w:val="36"/>
        </w:rPr>
        <w:t xml:space="preserve">) </w:t>
      </w:r>
      <w:proofErr w:type="spellStart"/>
      <w:r w:rsidRPr="007D698B">
        <w:rPr>
          <w:rFonts w:ascii="Sylfaen" w:hAnsi="Sylfaen"/>
          <w:b/>
          <w:i/>
          <w:sz w:val="36"/>
          <w:szCs w:val="36"/>
        </w:rPr>
        <w:t>Գլխավոր</w:t>
      </w:r>
      <w:proofErr w:type="spellEnd"/>
      <w:r w:rsidRPr="007D698B">
        <w:rPr>
          <w:rFonts w:ascii="Sylfaen" w:hAnsi="Sylfaen"/>
          <w:b/>
          <w:i/>
          <w:sz w:val="36"/>
          <w:szCs w:val="36"/>
        </w:rPr>
        <w:t xml:space="preserve"> </w:t>
      </w:r>
      <w:proofErr w:type="spellStart"/>
      <w:r w:rsidRPr="007D698B">
        <w:rPr>
          <w:rFonts w:ascii="Sylfaen" w:hAnsi="Sylfaen"/>
          <w:b/>
          <w:i/>
          <w:sz w:val="36"/>
          <w:szCs w:val="36"/>
        </w:rPr>
        <w:t>սկզբունքներ</w:t>
      </w:r>
      <w:proofErr w:type="spellEnd"/>
      <w:r>
        <w:rPr>
          <w:rFonts w:ascii="Sylfaen" w:hAnsi="Sylfaen"/>
          <w:sz w:val="36"/>
          <w:szCs w:val="36"/>
        </w:rPr>
        <w:t xml:space="preserve"> - </w:t>
      </w:r>
      <w:r>
        <w:rPr>
          <w:rFonts w:ascii="Sylfaen" w:hAnsi="Sylfaen"/>
          <w:sz w:val="36"/>
          <w:szCs w:val="36"/>
          <w:lang w:val="hy-AM"/>
        </w:rPr>
        <w:t xml:space="preserve">8-րդ հոդվածի վրա </w:t>
      </w:r>
      <w:r w:rsidR="00340360">
        <w:rPr>
          <w:rFonts w:ascii="Sylfaen" w:hAnsi="Sylfaen"/>
          <w:sz w:val="36"/>
          <w:szCs w:val="36"/>
          <w:lang w:val="hy-AM"/>
        </w:rPr>
        <w:t xml:space="preserve">չի կարելի հիմնվել՝ </w:t>
      </w:r>
      <w:r>
        <w:rPr>
          <w:rFonts w:ascii="Sylfaen" w:hAnsi="Sylfaen"/>
          <w:sz w:val="36"/>
          <w:szCs w:val="36"/>
          <w:lang w:val="hy-AM"/>
        </w:rPr>
        <w:t>բողոքելով համբավի</w:t>
      </w:r>
      <w:r w:rsidR="00340360">
        <w:rPr>
          <w:rFonts w:ascii="Sylfaen" w:hAnsi="Sylfaen"/>
          <w:sz w:val="36"/>
          <w:szCs w:val="36"/>
          <w:lang w:val="hy-AM"/>
        </w:rPr>
        <w:t xml:space="preserve"> կորստի դեմ կամ որևէ այլ հետևանքների դեմ, </w:t>
      </w:r>
      <w:proofErr w:type="gramStart"/>
      <w:r w:rsidR="00340360">
        <w:rPr>
          <w:rFonts w:ascii="Sylfaen" w:hAnsi="Sylfaen"/>
          <w:sz w:val="36"/>
          <w:szCs w:val="36"/>
          <w:lang w:val="hy-AM"/>
        </w:rPr>
        <w:t xml:space="preserve">որոնք  </w:t>
      </w:r>
      <w:r w:rsidR="007D698B">
        <w:rPr>
          <w:rFonts w:ascii="Sylfaen" w:hAnsi="Sylfaen"/>
          <w:sz w:val="36"/>
          <w:szCs w:val="36"/>
          <w:lang w:val="hy-AM"/>
        </w:rPr>
        <w:t>անձի</w:t>
      </w:r>
      <w:proofErr w:type="gramEnd"/>
      <w:r w:rsidR="00340360">
        <w:rPr>
          <w:rFonts w:ascii="Sylfaen" w:hAnsi="Sylfaen"/>
          <w:sz w:val="36"/>
          <w:szCs w:val="36"/>
          <w:lang w:val="hy-AM"/>
        </w:rPr>
        <w:t xml:space="preserve"> սեփական գործողությունների կանխատեսելի արդյունքն են</w:t>
      </w:r>
      <w:r w:rsidR="00340360">
        <w:rPr>
          <w:rFonts w:ascii="Sylfaen" w:hAnsi="Sylfaen"/>
          <w:sz w:val="36"/>
          <w:szCs w:val="36"/>
        </w:rPr>
        <w:t>(</w:t>
      </w:r>
      <w:r w:rsidR="00340360">
        <w:rPr>
          <w:rFonts w:ascii="Sylfaen" w:hAnsi="Sylfaen"/>
          <w:sz w:val="36"/>
          <w:szCs w:val="36"/>
          <w:lang w:val="hy-AM"/>
        </w:rPr>
        <w:t xml:space="preserve">տես՝ Գիլբերգն ընդդեմ Շվեդիայի գործը </w:t>
      </w:r>
      <w:r w:rsidR="00340360">
        <w:rPr>
          <w:rFonts w:ascii="Sylfaen" w:hAnsi="Sylfaen"/>
          <w:sz w:val="36"/>
          <w:szCs w:val="36"/>
        </w:rPr>
        <w:t>[GC])</w:t>
      </w:r>
      <w:r w:rsidR="00340360">
        <w:rPr>
          <w:rFonts w:ascii="Sylfaen" w:hAnsi="Sylfaen"/>
          <w:sz w:val="36"/>
          <w:szCs w:val="36"/>
          <w:lang w:val="hy-AM"/>
        </w:rPr>
        <w:t>։</w:t>
      </w:r>
    </w:p>
    <w:p w:rsidR="00340360" w:rsidRDefault="00340360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DF4B42" w:rsidRPr="006B45D8" w:rsidRDefault="00340360" w:rsidP="00F37008">
      <w:pPr>
        <w:jc w:val="both"/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Աշխատանքին </w:t>
      </w:r>
      <w:r w:rsidR="007D698B">
        <w:rPr>
          <w:rFonts w:ascii="Sylfaen" w:hAnsi="Sylfaen"/>
          <w:sz w:val="36"/>
          <w:szCs w:val="36"/>
          <w:lang w:val="hy-AM"/>
        </w:rPr>
        <w:t>առ</w:t>
      </w:r>
      <w:r>
        <w:rPr>
          <w:rFonts w:ascii="Sylfaen" w:hAnsi="Sylfaen"/>
          <w:sz w:val="36"/>
          <w:szCs w:val="36"/>
          <w:lang w:val="hy-AM"/>
        </w:rPr>
        <w:t>նչվող վեճերը</w:t>
      </w:r>
      <w:r w:rsidR="007D698B">
        <w:rPr>
          <w:rFonts w:ascii="Sylfaen" w:hAnsi="Sylfaen"/>
          <w:sz w:val="36"/>
          <w:szCs w:val="36"/>
          <w:lang w:val="hy-AM"/>
        </w:rPr>
        <w:t>,</w:t>
      </w:r>
      <w:r w:rsidRPr="006B45D8">
        <w:rPr>
          <w:rFonts w:ascii="Sylfaen" w:hAnsi="Sylfaen"/>
          <w:sz w:val="36"/>
          <w:szCs w:val="36"/>
          <w:lang w:val="hy-AM"/>
        </w:rPr>
        <w:t>per se</w:t>
      </w:r>
      <w:r w:rsidR="007D698B" w:rsidRPr="006B45D8">
        <w:rPr>
          <w:rFonts w:ascii="Sylfaen" w:hAnsi="Sylfaen"/>
          <w:sz w:val="36"/>
          <w:szCs w:val="36"/>
          <w:lang w:val="hy-AM"/>
        </w:rPr>
        <w:t>,</w:t>
      </w:r>
      <w:r>
        <w:rPr>
          <w:rFonts w:ascii="Sylfaen" w:hAnsi="Sylfaen"/>
          <w:sz w:val="36"/>
          <w:szCs w:val="36"/>
          <w:lang w:val="hy-AM"/>
        </w:rPr>
        <w:t xml:space="preserve">հանված չեն եղել “անձնական կյանքի” շրջանակներից՝ </w:t>
      </w:r>
      <w:r w:rsidRPr="006B45D8">
        <w:rPr>
          <w:rFonts w:ascii="Sylfaen" w:hAnsi="Sylfaen"/>
          <w:sz w:val="36"/>
          <w:szCs w:val="36"/>
          <w:lang w:val="hy-AM"/>
        </w:rPr>
        <w:t>8-րդ հոդվածի իմաստով</w:t>
      </w:r>
      <w:r w:rsidR="007D698B" w:rsidRPr="006B45D8">
        <w:rPr>
          <w:rFonts w:ascii="Sylfaen" w:hAnsi="Sylfaen"/>
          <w:sz w:val="36"/>
          <w:szCs w:val="36"/>
          <w:lang w:val="hy-AM"/>
        </w:rPr>
        <w:t>։</w:t>
      </w:r>
      <w:r w:rsidRPr="006B45D8">
        <w:rPr>
          <w:rFonts w:ascii="Sylfaen" w:hAnsi="Sylfaen"/>
          <w:sz w:val="36"/>
          <w:szCs w:val="36"/>
          <w:lang w:val="hy-AM"/>
        </w:rPr>
        <w:t xml:space="preserve"> Եղել են անձնական կյանքի որոշ տիպիկ </w:t>
      </w:r>
      <w:r w:rsidR="00547024" w:rsidRPr="006B45D8">
        <w:rPr>
          <w:rFonts w:ascii="Sylfaen" w:hAnsi="Sylfaen"/>
          <w:sz w:val="36"/>
          <w:szCs w:val="36"/>
          <w:lang w:val="hy-AM"/>
        </w:rPr>
        <w:t>ոլորտներ, որոնք կարող էին տուժել նման վեճերում։ Այդ ոլորտները ներառել են դիմողի “</w:t>
      </w:r>
      <w:r w:rsidR="0035197F" w:rsidRPr="006B45D8">
        <w:rPr>
          <w:rFonts w:ascii="Sylfaen" w:hAnsi="Sylfaen"/>
          <w:sz w:val="36"/>
          <w:szCs w:val="36"/>
          <w:lang w:val="hy-AM"/>
        </w:rPr>
        <w:t>նեղ</w:t>
      </w:r>
      <w:r w:rsidR="00547024" w:rsidRPr="006B45D8">
        <w:rPr>
          <w:rFonts w:ascii="Sylfaen" w:hAnsi="Sylfaen"/>
          <w:sz w:val="36"/>
          <w:szCs w:val="36"/>
          <w:lang w:val="hy-AM"/>
        </w:rPr>
        <w:t xml:space="preserve"> շրջանակը”, դիմողի հնարա</w:t>
      </w:r>
      <w:r w:rsidR="007D698B" w:rsidRPr="006B45D8">
        <w:rPr>
          <w:rFonts w:ascii="Sylfaen" w:hAnsi="Sylfaen"/>
          <w:sz w:val="36"/>
          <w:szCs w:val="36"/>
          <w:lang w:val="hy-AM"/>
        </w:rPr>
        <w:t>վ</w:t>
      </w:r>
      <w:r w:rsidR="00547024" w:rsidRPr="006B45D8">
        <w:rPr>
          <w:rFonts w:ascii="Sylfaen" w:hAnsi="Sylfaen"/>
          <w:sz w:val="36"/>
          <w:szCs w:val="36"/>
          <w:lang w:val="hy-AM"/>
        </w:rPr>
        <w:t xml:space="preserve">որությունը հաստատելու և զարգացնելու հարաբերություններ այլոց հետ, </w:t>
      </w:r>
      <w:r w:rsidR="00547024" w:rsidRPr="006B45D8">
        <w:rPr>
          <w:rFonts w:ascii="Sylfaen" w:hAnsi="Sylfaen"/>
          <w:sz w:val="36"/>
          <w:szCs w:val="36"/>
          <w:lang w:val="hy-AM"/>
        </w:rPr>
        <w:lastRenderedPageBreak/>
        <w:t>ինչպես նաև՝ դիմողի սոցիալական և մասնագիտական համբավը</w:t>
      </w:r>
      <w:r w:rsidR="007D698B" w:rsidRPr="006B45D8">
        <w:rPr>
          <w:rFonts w:ascii="Sylfaen" w:hAnsi="Sylfaen"/>
          <w:sz w:val="36"/>
          <w:szCs w:val="36"/>
          <w:lang w:val="hy-AM"/>
        </w:rPr>
        <w:t>։</w:t>
      </w:r>
      <w:r w:rsidR="00547024" w:rsidRPr="006B45D8">
        <w:rPr>
          <w:rFonts w:ascii="Sylfaen" w:hAnsi="Sylfaen"/>
          <w:sz w:val="36"/>
          <w:szCs w:val="36"/>
          <w:lang w:val="hy-AM"/>
        </w:rPr>
        <w:t xml:space="preserve"> </w:t>
      </w:r>
      <w:r w:rsidR="00742EC5">
        <w:rPr>
          <w:rFonts w:ascii="Sylfaen" w:hAnsi="Sylfaen"/>
          <w:sz w:val="36"/>
          <w:szCs w:val="36"/>
          <w:lang w:val="hy-AM"/>
        </w:rPr>
        <w:t>Ա</w:t>
      </w:r>
      <w:r w:rsidR="00742EC5" w:rsidRPr="00742EC5">
        <w:rPr>
          <w:rFonts w:ascii="Sylfaen" w:hAnsi="Sylfaen"/>
          <w:sz w:val="36"/>
          <w:szCs w:val="36"/>
          <w:lang w:val="hy-AM"/>
        </w:rPr>
        <w:t>ռ</w:t>
      </w:r>
      <w:r w:rsidR="00547024" w:rsidRPr="006B45D8">
        <w:rPr>
          <w:rFonts w:ascii="Sylfaen" w:hAnsi="Sylfaen"/>
          <w:sz w:val="36"/>
          <w:szCs w:val="36"/>
          <w:lang w:val="hy-AM"/>
        </w:rPr>
        <w:t>կա են եղել երկու ուղիներ, երբ անձնական կյանքին արնչվող խնդիրը կարող էր վեր հանվել նման վեճերի շրջանակներում</w:t>
      </w:r>
      <w:r w:rsidR="007D698B" w:rsidRPr="006B45D8">
        <w:rPr>
          <w:rFonts w:ascii="Sylfaen" w:hAnsi="Sylfaen"/>
          <w:sz w:val="36"/>
          <w:szCs w:val="36"/>
          <w:lang w:val="hy-AM"/>
        </w:rPr>
        <w:t>։</w:t>
      </w:r>
      <w:r w:rsidR="00547024" w:rsidRPr="006B45D8">
        <w:rPr>
          <w:rFonts w:ascii="Sylfaen" w:hAnsi="Sylfaen"/>
          <w:sz w:val="36"/>
          <w:szCs w:val="36"/>
          <w:lang w:val="hy-AM"/>
        </w:rPr>
        <w:t xml:space="preserve"> Կամ </w:t>
      </w:r>
      <w:r w:rsidR="00E60E9F" w:rsidRPr="006B45D8">
        <w:rPr>
          <w:rFonts w:ascii="Sylfaen" w:hAnsi="Sylfaen"/>
          <w:sz w:val="36"/>
          <w:szCs w:val="36"/>
          <w:lang w:val="hy-AM"/>
        </w:rPr>
        <w:t xml:space="preserve">վիճելի </w:t>
      </w:r>
      <w:r w:rsidR="007D698B" w:rsidRPr="006B45D8">
        <w:rPr>
          <w:rFonts w:ascii="Sylfaen" w:hAnsi="Sylfaen"/>
          <w:sz w:val="36"/>
          <w:szCs w:val="36"/>
          <w:lang w:val="hy-AM"/>
        </w:rPr>
        <w:t>միջո</w:t>
      </w:r>
      <w:r w:rsidR="00E60E9F" w:rsidRPr="006B45D8">
        <w:rPr>
          <w:rFonts w:ascii="Sylfaen" w:hAnsi="Sylfaen"/>
          <w:sz w:val="36"/>
          <w:szCs w:val="36"/>
          <w:lang w:val="hy-AM"/>
        </w:rPr>
        <w:t xml:space="preserve">ցի հիմնական </w:t>
      </w:r>
      <w:r w:rsidR="007D698B" w:rsidRPr="006B45D8">
        <w:rPr>
          <w:rFonts w:ascii="Sylfaen" w:hAnsi="Sylfaen"/>
          <w:sz w:val="36"/>
          <w:szCs w:val="36"/>
          <w:lang w:val="hy-AM"/>
        </w:rPr>
        <w:t>շարժառ</w:t>
      </w:r>
      <w:r w:rsidR="00E60E9F" w:rsidRPr="006B45D8">
        <w:rPr>
          <w:rFonts w:ascii="Sylfaen" w:hAnsi="Sylfaen"/>
          <w:sz w:val="36"/>
          <w:szCs w:val="36"/>
          <w:lang w:val="hy-AM"/>
        </w:rPr>
        <w:t xml:space="preserve">իթների պատճառով (այդ դեպքում Դատարանը կիրառել է </w:t>
      </w:r>
      <w:r w:rsidR="00C91CC5">
        <w:rPr>
          <w:rFonts w:ascii="Sylfaen" w:hAnsi="Sylfaen"/>
          <w:sz w:val="36"/>
          <w:szCs w:val="36"/>
          <w:lang w:val="hy-AM"/>
        </w:rPr>
        <w:t>պատճա</w:t>
      </w:r>
      <w:r w:rsidR="00C91CC5" w:rsidRPr="00C91CC5">
        <w:rPr>
          <w:rFonts w:ascii="Sylfaen" w:hAnsi="Sylfaen"/>
          <w:sz w:val="36"/>
          <w:szCs w:val="36"/>
          <w:lang w:val="hy-AM"/>
        </w:rPr>
        <w:t>ռ</w:t>
      </w:r>
      <w:r w:rsidR="00DF4B42" w:rsidRPr="006B45D8">
        <w:rPr>
          <w:rFonts w:ascii="Sylfaen" w:hAnsi="Sylfaen"/>
          <w:sz w:val="36"/>
          <w:szCs w:val="36"/>
          <w:lang w:val="hy-AM"/>
        </w:rPr>
        <w:t xml:space="preserve">ի վրա </w:t>
      </w:r>
      <w:r w:rsidR="00C91CC5">
        <w:rPr>
          <w:rFonts w:ascii="Sylfaen" w:hAnsi="Sylfaen"/>
          <w:sz w:val="36"/>
          <w:szCs w:val="36"/>
          <w:lang w:val="hy-AM"/>
        </w:rPr>
        <w:t>հիմն</w:t>
      </w:r>
      <w:r w:rsidR="00DF4B42" w:rsidRPr="006B45D8">
        <w:rPr>
          <w:rFonts w:ascii="Sylfaen" w:hAnsi="Sylfaen"/>
          <w:sz w:val="36"/>
          <w:szCs w:val="36"/>
          <w:lang w:val="hy-AM"/>
        </w:rPr>
        <w:t>ված մոտեցում</w:t>
      </w:r>
      <w:r w:rsidR="00E60E9F" w:rsidRPr="006B45D8">
        <w:rPr>
          <w:rFonts w:ascii="Sylfaen" w:hAnsi="Sylfaen"/>
          <w:sz w:val="36"/>
          <w:szCs w:val="36"/>
          <w:lang w:val="hy-AM"/>
        </w:rPr>
        <w:t>)</w:t>
      </w:r>
      <w:r w:rsidR="00DF4B42" w:rsidRPr="006B45D8">
        <w:rPr>
          <w:rFonts w:ascii="Sylfaen" w:hAnsi="Sylfaen"/>
          <w:sz w:val="36"/>
          <w:szCs w:val="36"/>
          <w:lang w:val="hy-AM"/>
        </w:rPr>
        <w:t xml:space="preserve"> կամ, որոշ գործերով, անձնական կյանքի համար առաջ եկած հետևանքների պատճառով (այդ դեպքում </w:t>
      </w:r>
      <w:r w:rsidR="00C57139">
        <w:rPr>
          <w:rFonts w:ascii="Sylfaen" w:hAnsi="Sylfaen"/>
          <w:sz w:val="36"/>
          <w:szCs w:val="36"/>
          <w:lang w:val="hy-AM"/>
        </w:rPr>
        <w:t>Դատա</w:t>
      </w:r>
      <w:r w:rsidR="00C57139" w:rsidRPr="00C57139">
        <w:rPr>
          <w:rFonts w:ascii="Sylfaen" w:hAnsi="Sylfaen"/>
          <w:sz w:val="36"/>
          <w:szCs w:val="36"/>
          <w:lang w:val="hy-AM"/>
        </w:rPr>
        <w:t>ր</w:t>
      </w:r>
      <w:r w:rsidR="00DF4B42" w:rsidRPr="006B45D8">
        <w:rPr>
          <w:rFonts w:ascii="Sylfaen" w:hAnsi="Sylfaen"/>
          <w:sz w:val="36"/>
          <w:szCs w:val="36"/>
          <w:lang w:val="hy-AM"/>
        </w:rPr>
        <w:t>անը կիրառել է հետևանքի վրա հիմնված մոտեցում)։</w:t>
      </w:r>
    </w:p>
    <w:p w:rsidR="00DF4B42" w:rsidRPr="006B45D8" w:rsidRDefault="00DF4B42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A456FD" w:rsidRDefault="00DF4B42" w:rsidP="00F37008">
      <w:pPr>
        <w:jc w:val="both"/>
        <w:rPr>
          <w:rFonts w:ascii="Sylfaen" w:hAnsi="Sylfaen"/>
          <w:sz w:val="36"/>
          <w:szCs w:val="36"/>
        </w:rPr>
      </w:pPr>
      <w:r w:rsidRPr="008A05FB">
        <w:rPr>
          <w:rFonts w:ascii="Sylfaen" w:hAnsi="Sylfaen"/>
          <w:sz w:val="36"/>
          <w:szCs w:val="36"/>
          <w:lang w:val="hy-AM"/>
        </w:rPr>
        <w:t>Եթե կ</w:t>
      </w:r>
      <w:r w:rsidR="008A05FB" w:rsidRPr="008A05FB">
        <w:rPr>
          <w:rFonts w:ascii="Sylfaen" w:hAnsi="Sylfaen"/>
          <w:sz w:val="36"/>
          <w:szCs w:val="36"/>
          <w:lang w:val="hy-AM"/>
        </w:rPr>
        <w:t>ի</w:t>
      </w:r>
      <w:r w:rsidRPr="008A05FB">
        <w:rPr>
          <w:rFonts w:ascii="Sylfaen" w:hAnsi="Sylfaen"/>
          <w:sz w:val="36"/>
          <w:szCs w:val="36"/>
          <w:lang w:val="hy-AM"/>
        </w:rPr>
        <w:t xml:space="preserve">րառվել է հետևանքի վրա հիմնված մոտեցում, </w:t>
      </w:r>
      <w:r w:rsidR="00962420" w:rsidRPr="008A05FB">
        <w:rPr>
          <w:rFonts w:ascii="Sylfaen" w:hAnsi="Sylfaen"/>
          <w:sz w:val="36"/>
          <w:szCs w:val="36"/>
          <w:lang w:val="hy-AM"/>
        </w:rPr>
        <w:t xml:space="preserve">անձնական կյանքի այդ տիպիկ </w:t>
      </w:r>
      <w:r w:rsidR="007D698B" w:rsidRPr="008A05FB">
        <w:rPr>
          <w:rFonts w:ascii="Sylfaen" w:hAnsi="Sylfaen"/>
          <w:sz w:val="36"/>
          <w:szCs w:val="36"/>
          <w:lang w:val="hy-AM"/>
        </w:rPr>
        <w:t>ոլո</w:t>
      </w:r>
      <w:r w:rsidR="00962420" w:rsidRPr="008A05FB">
        <w:rPr>
          <w:rFonts w:ascii="Sylfaen" w:hAnsi="Sylfaen"/>
          <w:sz w:val="36"/>
          <w:szCs w:val="36"/>
          <w:lang w:val="hy-AM"/>
        </w:rPr>
        <w:t xml:space="preserve">րտների նկատմամբ լրջության աստիճանը եղել է անչափ կարևոր։ Դիմողի պարտականությունն է եղել համոզիչ կերպով ցույց տալ նշված աստիճանի առկայությունը. </w:t>
      </w:r>
      <w:proofErr w:type="spellStart"/>
      <w:r w:rsidR="00962420">
        <w:rPr>
          <w:rFonts w:ascii="Sylfaen" w:hAnsi="Sylfaen"/>
          <w:sz w:val="36"/>
          <w:szCs w:val="36"/>
        </w:rPr>
        <w:t>Դիմողը</w:t>
      </w:r>
      <w:proofErr w:type="spellEnd"/>
      <w:r w:rsidR="00962420">
        <w:rPr>
          <w:rFonts w:ascii="Sylfaen" w:hAnsi="Sylfaen"/>
          <w:sz w:val="36"/>
          <w:szCs w:val="36"/>
        </w:rPr>
        <w:t xml:space="preserve"> </w:t>
      </w:r>
      <w:proofErr w:type="spellStart"/>
      <w:r w:rsidR="00962420">
        <w:rPr>
          <w:rFonts w:ascii="Sylfaen" w:hAnsi="Sylfaen"/>
          <w:sz w:val="36"/>
          <w:szCs w:val="36"/>
        </w:rPr>
        <w:t>պետք</w:t>
      </w:r>
      <w:proofErr w:type="spellEnd"/>
      <w:r w:rsidR="00962420">
        <w:rPr>
          <w:rFonts w:ascii="Sylfaen" w:hAnsi="Sylfaen"/>
          <w:sz w:val="36"/>
          <w:szCs w:val="36"/>
        </w:rPr>
        <w:t xml:space="preserve"> է </w:t>
      </w:r>
      <w:proofErr w:type="spellStart"/>
      <w:r w:rsidR="00962420">
        <w:rPr>
          <w:rFonts w:ascii="Sylfaen" w:hAnsi="Sylfaen"/>
          <w:sz w:val="36"/>
          <w:szCs w:val="36"/>
        </w:rPr>
        <w:t>ներկայացներ</w:t>
      </w:r>
      <w:proofErr w:type="spellEnd"/>
      <w:r w:rsidR="00962420">
        <w:rPr>
          <w:rFonts w:ascii="Sylfaen" w:hAnsi="Sylfaen"/>
          <w:sz w:val="36"/>
          <w:szCs w:val="36"/>
        </w:rPr>
        <w:t xml:space="preserve"> </w:t>
      </w:r>
      <w:proofErr w:type="spellStart"/>
      <w:r w:rsidR="00962420">
        <w:rPr>
          <w:rFonts w:ascii="Sylfaen" w:hAnsi="Sylfaen"/>
          <w:sz w:val="36"/>
          <w:szCs w:val="36"/>
        </w:rPr>
        <w:t>ապացույց</w:t>
      </w:r>
      <w:proofErr w:type="spellEnd"/>
      <w:r w:rsidR="00962420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վիճելի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միջոցի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հետևանքները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հիմնավորելու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համար</w:t>
      </w:r>
      <w:proofErr w:type="spellEnd"/>
      <w:r w:rsidR="009B7335">
        <w:rPr>
          <w:rFonts w:ascii="Sylfaen" w:hAnsi="Sylfaen"/>
          <w:sz w:val="36"/>
          <w:szCs w:val="36"/>
        </w:rPr>
        <w:t xml:space="preserve">։ </w:t>
      </w:r>
      <w:proofErr w:type="spellStart"/>
      <w:r w:rsidR="009B7335">
        <w:rPr>
          <w:rFonts w:ascii="Sylfaen" w:hAnsi="Sylfaen"/>
          <w:sz w:val="36"/>
          <w:szCs w:val="36"/>
        </w:rPr>
        <w:t>Դատարանը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կընդունի</w:t>
      </w:r>
      <w:proofErr w:type="spellEnd"/>
      <w:r w:rsidR="009B7335">
        <w:rPr>
          <w:rFonts w:ascii="Sylfaen" w:hAnsi="Sylfaen"/>
          <w:sz w:val="36"/>
          <w:szCs w:val="36"/>
        </w:rPr>
        <w:t xml:space="preserve">, </w:t>
      </w:r>
      <w:proofErr w:type="spellStart"/>
      <w:r w:rsidR="009B7335">
        <w:rPr>
          <w:rFonts w:ascii="Sylfaen" w:hAnsi="Sylfaen"/>
          <w:sz w:val="36"/>
          <w:szCs w:val="36"/>
        </w:rPr>
        <w:t>որ</w:t>
      </w:r>
      <w:proofErr w:type="spellEnd"/>
      <w:r w:rsidR="009B7335">
        <w:rPr>
          <w:rFonts w:ascii="Sylfaen" w:hAnsi="Sylfaen"/>
          <w:sz w:val="36"/>
          <w:szCs w:val="36"/>
        </w:rPr>
        <w:t xml:space="preserve"> 8-րդ </w:t>
      </w:r>
      <w:proofErr w:type="spellStart"/>
      <w:r w:rsidR="009B7335">
        <w:rPr>
          <w:rFonts w:ascii="Sylfaen" w:hAnsi="Sylfaen"/>
          <w:sz w:val="36"/>
          <w:szCs w:val="36"/>
        </w:rPr>
        <w:t>հոդվածը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կրառելի</w:t>
      </w:r>
      <w:proofErr w:type="spellEnd"/>
      <w:r w:rsidR="009B7335">
        <w:rPr>
          <w:rFonts w:ascii="Sylfaen" w:hAnsi="Sylfaen"/>
          <w:sz w:val="36"/>
          <w:szCs w:val="36"/>
        </w:rPr>
        <w:t xml:space="preserve"> է </w:t>
      </w:r>
      <w:proofErr w:type="spellStart"/>
      <w:r w:rsidR="009B7335">
        <w:rPr>
          <w:rFonts w:ascii="Sylfaen" w:hAnsi="Sylfaen"/>
          <w:sz w:val="36"/>
          <w:szCs w:val="36"/>
        </w:rPr>
        <w:t>միայն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այն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դեպքում</w:t>
      </w:r>
      <w:proofErr w:type="spellEnd"/>
      <w:r w:rsidR="009B7335">
        <w:rPr>
          <w:rFonts w:ascii="Sylfaen" w:hAnsi="Sylfaen"/>
          <w:sz w:val="36"/>
          <w:szCs w:val="36"/>
        </w:rPr>
        <w:t xml:space="preserve">, </w:t>
      </w:r>
      <w:proofErr w:type="spellStart"/>
      <w:r w:rsidR="009B7335">
        <w:rPr>
          <w:rFonts w:ascii="Sylfaen" w:hAnsi="Sylfaen"/>
          <w:sz w:val="36"/>
          <w:szCs w:val="36"/>
        </w:rPr>
        <w:t>եթե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այդ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հետևանքները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եղել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են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բավականին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լուրջ</w:t>
      </w:r>
      <w:proofErr w:type="spellEnd"/>
      <w:r w:rsidR="009B7335">
        <w:rPr>
          <w:rFonts w:ascii="Sylfaen" w:hAnsi="Sylfaen"/>
          <w:sz w:val="36"/>
          <w:szCs w:val="36"/>
        </w:rPr>
        <w:t xml:space="preserve"> և </w:t>
      </w:r>
      <w:proofErr w:type="spellStart"/>
      <w:r w:rsidR="009B7335">
        <w:rPr>
          <w:rFonts w:ascii="Sylfaen" w:hAnsi="Sylfaen"/>
          <w:sz w:val="36"/>
          <w:szCs w:val="36"/>
        </w:rPr>
        <w:t>էապես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ազդել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են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տվյալ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անձի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անձնական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կյանքի</w:t>
      </w:r>
      <w:proofErr w:type="spellEnd"/>
      <w:r w:rsidR="009B7335">
        <w:rPr>
          <w:rFonts w:ascii="Sylfaen" w:hAnsi="Sylfaen"/>
          <w:sz w:val="36"/>
          <w:szCs w:val="36"/>
        </w:rPr>
        <w:t xml:space="preserve"> </w:t>
      </w:r>
      <w:proofErr w:type="spellStart"/>
      <w:r w:rsidR="009B7335">
        <w:rPr>
          <w:rFonts w:ascii="Sylfaen" w:hAnsi="Sylfaen"/>
          <w:sz w:val="36"/>
          <w:szCs w:val="36"/>
        </w:rPr>
        <w:t>վրա</w:t>
      </w:r>
      <w:proofErr w:type="spellEnd"/>
      <w:r w:rsidR="009B7335">
        <w:rPr>
          <w:rFonts w:ascii="Sylfaen" w:hAnsi="Sylfaen"/>
          <w:sz w:val="36"/>
          <w:szCs w:val="36"/>
        </w:rPr>
        <w:t>։</w:t>
      </w:r>
    </w:p>
    <w:p w:rsidR="004E3783" w:rsidRDefault="004E3783" w:rsidP="00F37008">
      <w:pPr>
        <w:jc w:val="both"/>
        <w:rPr>
          <w:rFonts w:ascii="Sylfaen" w:hAnsi="Sylfaen"/>
          <w:sz w:val="36"/>
          <w:szCs w:val="36"/>
        </w:rPr>
      </w:pPr>
    </w:p>
    <w:p w:rsidR="004E3783" w:rsidRPr="009B7335" w:rsidRDefault="004E3783" w:rsidP="00F37008">
      <w:pPr>
        <w:jc w:val="both"/>
        <w:rPr>
          <w:rFonts w:ascii="Sylfaen" w:hAnsi="Sylfaen"/>
          <w:sz w:val="36"/>
          <w:szCs w:val="36"/>
        </w:rPr>
      </w:pPr>
      <w:proofErr w:type="spellStart"/>
      <w:r>
        <w:rPr>
          <w:rFonts w:ascii="Sylfaen" w:hAnsi="Sylfaen"/>
          <w:sz w:val="36"/>
          <w:szCs w:val="36"/>
        </w:rPr>
        <w:t>Դիմողի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կողմից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կրած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վնասը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պետք</w:t>
      </w:r>
      <w:proofErr w:type="spellEnd"/>
      <w:r>
        <w:rPr>
          <w:rFonts w:ascii="Sylfaen" w:hAnsi="Sylfaen"/>
          <w:sz w:val="36"/>
          <w:szCs w:val="36"/>
        </w:rPr>
        <w:t xml:space="preserve"> է </w:t>
      </w:r>
      <w:proofErr w:type="spellStart"/>
      <w:r>
        <w:rPr>
          <w:rFonts w:ascii="Sylfaen" w:hAnsi="Sylfaen"/>
          <w:sz w:val="36"/>
          <w:szCs w:val="36"/>
        </w:rPr>
        <w:t>գնահատվեր</w:t>
      </w:r>
      <w:proofErr w:type="spellEnd"/>
      <w:r>
        <w:rPr>
          <w:rFonts w:ascii="Sylfaen" w:hAnsi="Sylfaen"/>
          <w:sz w:val="36"/>
          <w:szCs w:val="36"/>
        </w:rPr>
        <w:t xml:space="preserve">՝ </w:t>
      </w:r>
      <w:proofErr w:type="spellStart"/>
      <w:proofErr w:type="gramStart"/>
      <w:r>
        <w:rPr>
          <w:rFonts w:ascii="Sylfaen" w:hAnsi="Sylfaen"/>
          <w:sz w:val="36"/>
          <w:szCs w:val="36"/>
        </w:rPr>
        <w:t>համեմատելով</w:t>
      </w:r>
      <w:proofErr w:type="spellEnd"/>
      <w:r>
        <w:rPr>
          <w:rFonts w:ascii="Sylfaen" w:hAnsi="Sylfaen"/>
          <w:sz w:val="36"/>
          <w:szCs w:val="36"/>
        </w:rPr>
        <w:t xml:space="preserve">  </w:t>
      </w:r>
      <w:proofErr w:type="spellStart"/>
      <w:r>
        <w:rPr>
          <w:rFonts w:ascii="Sylfaen" w:hAnsi="Sylfaen"/>
          <w:sz w:val="36"/>
          <w:szCs w:val="36"/>
        </w:rPr>
        <w:t>մինչ</w:t>
      </w:r>
      <w:proofErr w:type="spellEnd"/>
      <w:proofErr w:type="gram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քննարկվող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միջոցի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կիրառումը</w:t>
      </w:r>
      <w:proofErr w:type="spellEnd"/>
      <w:r>
        <w:rPr>
          <w:rFonts w:ascii="Sylfaen" w:hAnsi="Sylfaen"/>
          <w:sz w:val="36"/>
          <w:szCs w:val="36"/>
        </w:rPr>
        <w:t xml:space="preserve">  </w:t>
      </w:r>
      <w:proofErr w:type="spellStart"/>
      <w:r>
        <w:rPr>
          <w:rFonts w:ascii="Sylfaen" w:hAnsi="Sylfaen"/>
          <w:sz w:val="36"/>
          <w:szCs w:val="36"/>
        </w:rPr>
        <w:t>նրա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կյանքը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քննարկվող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միջոցի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</w:t>
      </w:r>
      <w:r w:rsidR="008A05FB">
        <w:rPr>
          <w:rFonts w:ascii="Sylfaen" w:hAnsi="Sylfaen"/>
          <w:sz w:val="36"/>
          <w:szCs w:val="36"/>
        </w:rPr>
        <w:t>ի</w:t>
      </w:r>
      <w:r>
        <w:rPr>
          <w:rFonts w:ascii="Sylfaen" w:hAnsi="Sylfaen"/>
          <w:sz w:val="36"/>
          <w:szCs w:val="36"/>
        </w:rPr>
        <w:t>րառումից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հետո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նրա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կյանքի</w:t>
      </w:r>
      <w:r w:rsidR="00172234">
        <w:rPr>
          <w:rFonts w:ascii="Sylfaen" w:hAnsi="Sylfaen"/>
          <w:sz w:val="36"/>
          <w:szCs w:val="36"/>
        </w:rPr>
        <w:t>ց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հետո</w:t>
      </w:r>
      <w:proofErr w:type="spellEnd"/>
      <w:r>
        <w:rPr>
          <w:rFonts w:ascii="Sylfaen" w:hAnsi="Sylfaen"/>
          <w:sz w:val="36"/>
          <w:szCs w:val="36"/>
        </w:rPr>
        <w:t xml:space="preserve">։ </w:t>
      </w:r>
      <w:proofErr w:type="spellStart"/>
      <w:r>
        <w:rPr>
          <w:rFonts w:ascii="Sylfaen" w:hAnsi="Sylfaen"/>
          <w:sz w:val="36"/>
          <w:szCs w:val="36"/>
        </w:rPr>
        <w:t>Աշխատանքին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առչվող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գործերով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հետևանքների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լրջությունը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գնահատելիս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տեղին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էր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lastRenderedPageBreak/>
        <w:t>գնահատել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դիմողի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սուբյեկտիվ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ընկալումն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ընդդեմ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տվյալ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գործով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առկա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օբյեկտիվ</w:t>
      </w:r>
      <w:proofErr w:type="spellEnd"/>
      <w:r>
        <w:rPr>
          <w:rFonts w:ascii="Sylfaen" w:hAnsi="Sylfaen"/>
          <w:sz w:val="36"/>
          <w:szCs w:val="36"/>
        </w:rPr>
        <w:t xml:space="preserve"> </w:t>
      </w:r>
      <w:proofErr w:type="spellStart"/>
      <w:r>
        <w:rPr>
          <w:rFonts w:ascii="Sylfaen" w:hAnsi="Sylfaen"/>
          <w:sz w:val="36"/>
          <w:szCs w:val="36"/>
        </w:rPr>
        <w:t>հանգամանքների</w:t>
      </w:r>
      <w:proofErr w:type="spellEnd"/>
      <w:r>
        <w:rPr>
          <w:rFonts w:ascii="Sylfaen" w:hAnsi="Sylfaen"/>
          <w:sz w:val="36"/>
          <w:szCs w:val="36"/>
        </w:rPr>
        <w:t xml:space="preserve">։ </w:t>
      </w:r>
    </w:p>
    <w:p w:rsidR="00B22E88" w:rsidRDefault="00B22E88" w:rsidP="00F37008">
      <w:pPr>
        <w:jc w:val="both"/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 Այդ դիտարկումները պետք է ներառեին վիճելի միջոցի թե նյութական, և թե ոչ նյութական ազդեցությունը։ Այդուհանդերձ, դիմողն ինքը պետք է բնորոշեր և հիմնավորեր իր կրած վնասի </w:t>
      </w:r>
      <w:r w:rsidR="007D698B">
        <w:rPr>
          <w:rFonts w:ascii="Sylfaen" w:hAnsi="Sylfaen"/>
          <w:sz w:val="36"/>
          <w:szCs w:val="36"/>
          <w:lang w:val="hy-AM"/>
        </w:rPr>
        <w:t>բ</w:t>
      </w:r>
      <w:r>
        <w:rPr>
          <w:rFonts w:ascii="Sylfaen" w:hAnsi="Sylfaen"/>
          <w:sz w:val="36"/>
          <w:szCs w:val="36"/>
          <w:lang w:val="hy-AM"/>
        </w:rPr>
        <w:t xml:space="preserve">նույթն ու աստիճանը, որը պետք է ունենար </w:t>
      </w:r>
      <w:r w:rsidR="007D698B">
        <w:rPr>
          <w:rFonts w:ascii="Sylfaen" w:hAnsi="Sylfaen"/>
          <w:sz w:val="36"/>
          <w:szCs w:val="36"/>
          <w:lang w:val="hy-AM"/>
        </w:rPr>
        <w:t>պատճառ</w:t>
      </w:r>
      <w:r>
        <w:rPr>
          <w:rFonts w:ascii="Sylfaen" w:hAnsi="Sylfaen"/>
          <w:sz w:val="36"/>
          <w:szCs w:val="36"/>
          <w:lang w:val="hy-AM"/>
        </w:rPr>
        <w:t>ական կապ վիճելի միջոցի հետ։</w:t>
      </w:r>
    </w:p>
    <w:p w:rsidR="00B22E88" w:rsidRDefault="00B22E88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2024C9" w:rsidRPr="006B45D8" w:rsidRDefault="00B22E88" w:rsidP="00F37008">
      <w:pPr>
        <w:jc w:val="both"/>
        <w:rPr>
          <w:rFonts w:ascii="Sylfaen" w:hAnsi="Sylfaen"/>
          <w:sz w:val="36"/>
          <w:szCs w:val="36"/>
          <w:lang w:val="hy-AM"/>
        </w:rPr>
      </w:pPr>
      <w:r w:rsidRPr="006B45D8">
        <w:rPr>
          <w:rFonts w:ascii="Sylfaen" w:hAnsi="Sylfaen"/>
          <w:b/>
          <w:i/>
          <w:sz w:val="36"/>
          <w:szCs w:val="36"/>
          <w:lang w:val="hy-AM"/>
        </w:rPr>
        <w:t>(բ)</w:t>
      </w:r>
      <w:r w:rsidR="007D698B" w:rsidRPr="006B45D8">
        <w:rPr>
          <w:rFonts w:ascii="Sylfaen" w:hAnsi="Sylfaen"/>
          <w:b/>
          <w:i/>
          <w:sz w:val="36"/>
          <w:szCs w:val="36"/>
          <w:lang w:val="hy-AM"/>
        </w:rPr>
        <w:t>Կիր</w:t>
      </w:r>
      <w:r w:rsidRPr="006B45D8">
        <w:rPr>
          <w:rFonts w:ascii="Sylfaen" w:hAnsi="Sylfaen"/>
          <w:b/>
          <w:i/>
          <w:sz w:val="36"/>
          <w:szCs w:val="36"/>
          <w:lang w:val="hy-AM"/>
        </w:rPr>
        <w:t>ա</w:t>
      </w:r>
      <w:r w:rsidR="007D698B" w:rsidRPr="006B45D8">
        <w:rPr>
          <w:rFonts w:ascii="Sylfaen" w:hAnsi="Sylfaen"/>
          <w:b/>
          <w:i/>
          <w:sz w:val="36"/>
          <w:szCs w:val="36"/>
          <w:lang w:val="hy-AM"/>
        </w:rPr>
        <w:t>ռ</w:t>
      </w:r>
      <w:r w:rsidRPr="006B45D8">
        <w:rPr>
          <w:rFonts w:ascii="Sylfaen" w:hAnsi="Sylfaen"/>
          <w:b/>
          <w:i/>
          <w:sz w:val="36"/>
          <w:szCs w:val="36"/>
          <w:lang w:val="hy-AM"/>
        </w:rPr>
        <w:t xml:space="preserve">ում </w:t>
      </w:r>
      <w:r w:rsidR="00F27363" w:rsidRPr="006B45D8">
        <w:rPr>
          <w:rFonts w:ascii="Sylfaen" w:hAnsi="Sylfaen"/>
          <w:sz w:val="36"/>
          <w:szCs w:val="36"/>
          <w:lang w:val="hy-AM"/>
        </w:rPr>
        <w:t xml:space="preserve">–Դիմողին պաշտոնից ազատելու կոնկրետ պատճառը  հստակ սահմանափակված է եղել նրա կողմից </w:t>
      </w:r>
      <w:r w:rsidR="00CB4CE9" w:rsidRPr="006B45D8">
        <w:rPr>
          <w:rFonts w:ascii="Sylfaen" w:hAnsi="Sylfaen"/>
          <w:sz w:val="36"/>
          <w:szCs w:val="36"/>
          <w:lang w:val="hy-AM"/>
        </w:rPr>
        <w:t xml:space="preserve">կառավարչական գործառույթներ դրսևորելու հարցում </w:t>
      </w:r>
      <w:r w:rsidR="007D698B" w:rsidRPr="006B45D8">
        <w:rPr>
          <w:rFonts w:ascii="Sylfaen" w:hAnsi="Sylfaen"/>
          <w:sz w:val="36"/>
          <w:szCs w:val="36"/>
          <w:lang w:val="hy-AM"/>
        </w:rPr>
        <w:t>թերանալով</w:t>
      </w:r>
      <w:r w:rsidR="00697217" w:rsidRPr="006B45D8">
        <w:rPr>
          <w:rFonts w:ascii="Sylfaen" w:hAnsi="Sylfaen"/>
          <w:sz w:val="36"/>
          <w:szCs w:val="36"/>
          <w:lang w:val="hy-AM"/>
        </w:rPr>
        <w:t xml:space="preserve">, </w:t>
      </w:r>
      <w:r w:rsidR="00C05D68" w:rsidRPr="006B45D8">
        <w:rPr>
          <w:rFonts w:ascii="Sylfaen" w:hAnsi="Sylfaen"/>
          <w:sz w:val="36"/>
          <w:szCs w:val="36"/>
          <w:lang w:val="hy-AM"/>
        </w:rPr>
        <w:t>որի հետևանքով, ինչպես նշվում է, խախտվել է դատարանի գործունեությունը։ Այդ պատճառներն առնչվել են միայն դիմողի աշխատավայրում նրա  վարչարարական խնդիրներին</w:t>
      </w:r>
      <w:r w:rsidR="00A01DAA" w:rsidRPr="006B45D8">
        <w:rPr>
          <w:rFonts w:ascii="Sylfaen" w:hAnsi="Sylfaen"/>
          <w:sz w:val="36"/>
          <w:szCs w:val="36"/>
          <w:lang w:val="hy-AM"/>
        </w:rPr>
        <w:t>, և ամենևին կապ չեն ունեցել նրա անձնական կյանքի հետ։ Նրան պաշտոնից ազատելու պատճառներում նման հարցերի բացակայության պայմաններում պետք էր պարզել, արդյոք, համաձայն ապացույցների և դիմողի կողմից ներկայացված հիմնավորված բողոքների, միջոցն ունեցել է լուրջ բացասական հետևանքներ նրա “անձնական կյանքի” ոլորտների վրա, թե՝ ոչ։</w:t>
      </w:r>
    </w:p>
    <w:p w:rsidR="002024C9" w:rsidRPr="006B45D8" w:rsidRDefault="002024C9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B22E88" w:rsidRPr="009F0601" w:rsidRDefault="002024C9" w:rsidP="00F37008">
      <w:pPr>
        <w:jc w:val="both"/>
        <w:rPr>
          <w:rFonts w:ascii="Sylfaen" w:hAnsi="Sylfaen"/>
          <w:sz w:val="36"/>
          <w:szCs w:val="36"/>
          <w:lang w:val="hy-AM"/>
        </w:rPr>
      </w:pPr>
      <w:r w:rsidRPr="009F0601">
        <w:rPr>
          <w:rFonts w:ascii="Sylfaen" w:hAnsi="Sylfaen"/>
          <w:sz w:val="36"/>
          <w:szCs w:val="36"/>
          <w:lang w:val="hy-AM"/>
        </w:rPr>
        <w:t xml:space="preserve">Դիմողը </w:t>
      </w:r>
      <w:r w:rsidR="00EA5ECD" w:rsidRPr="009F0601">
        <w:rPr>
          <w:rFonts w:ascii="Sylfaen" w:hAnsi="Sylfaen"/>
          <w:sz w:val="36"/>
          <w:szCs w:val="36"/>
          <w:lang w:val="hy-AM"/>
        </w:rPr>
        <w:t>հերքել է իր վարչարարական պարտականությունները չկատարելու բուն փաստը՝ այդպիսով նշելով, որ իր իրավական պատասխանատվությունը ներգրավող միջոցը, այն</w:t>
      </w:r>
      <w:r w:rsidR="009F0601" w:rsidRPr="009F0601">
        <w:rPr>
          <w:rFonts w:ascii="Sylfaen" w:hAnsi="Sylfaen"/>
          <w:sz w:val="36"/>
          <w:szCs w:val="36"/>
          <w:lang w:val="hy-AM"/>
        </w:rPr>
        <w:t xml:space="preserve"> </w:t>
      </w:r>
      <w:r w:rsidR="00EA5ECD" w:rsidRPr="009F0601">
        <w:rPr>
          <w:rFonts w:ascii="Sylfaen" w:hAnsi="Sylfaen"/>
          <w:sz w:val="36"/>
          <w:szCs w:val="36"/>
          <w:lang w:val="hy-AM"/>
        </w:rPr>
        <w:t xml:space="preserve">է՝ </w:t>
      </w:r>
      <w:r w:rsidR="007D698B" w:rsidRPr="009F0601">
        <w:rPr>
          <w:rFonts w:ascii="Sylfaen" w:hAnsi="Sylfaen"/>
          <w:sz w:val="36"/>
          <w:szCs w:val="36"/>
          <w:lang w:val="hy-AM"/>
        </w:rPr>
        <w:lastRenderedPageBreak/>
        <w:t>իրեն</w:t>
      </w:r>
      <w:r w:rsidR="00EA5ECD" w:rsidRPr="009F0601">
        <w:rPr>
          <w:rFonts w:ascii="Sylfaen" w:hAnsi="Sylfaen"/>
          <w:sz w:val="36"/>
          <w:szCs w:val="36"/>
          <w:lang w:val="hy-AM"/>
        </w:rPr>
        <w:t xml:space="preserve"> պաշտոնից ազատելը, </w:t>
      </w:r>
      <w:r w:rsidR="007D698B" w:rsidRPr="009F0601">
        <w:rPr>
          <w:rFonts w:ascii="Sylfaen" w:hAnsi="Sylfaen"/>
          <w:sz w:val="36"/>
          <w:szCs w:val="36"/>
          <w:lang w:val="hy-AM"/>
        </w:rPr>
        <w:t>չէ</w:t>
      </w:r>
      <w:r w:rsidR="00EA5ECD" w:rsidRPr="009F0601">
        <w:rPr>
          <w:rFonts w:ascii="Sylfaen" w:hAnsi="Sylfaen"/>
          <w:sz w:val="36"/>
          <w:szCs w:val="36"/>
          <w:lang w:val="hy-AM"/>
        </w:rPr>
        <w:t>ր կարող լինել իր գործողության կանխատեսելի հետևանք վարչական դատարանի նախագահի պաշտոնը զբաղացնելու ընթացքում, հետևաբար</w:t>
      </w:r>
      <w:r w:rsidR="007D698B" w:rsidRPr="009F0601">
        <w:rPr>
          <w:rFonts w:ascii="Sylfaen" w:hAnsi="Sylfaen"/>
          <w:sz w:val="36"/>
          <w:szCs w:val="36"/>
          <w:lang w:val="hy-AM"/>
        </w:rPr>
        <w:t>՝</w:t>
      </w:r>
      <w:r w:rsidR="00EA5ECD" w:rsidRPr="009F0601">
        <w:rPr>
          <w:rFonts w:ascii="Sylfaen" w:hAnsi="Sylfaen"/>
          <w:sz w:val="36"/>
          <w:szCs w:val="36"/>
          <w:lang w:val="hy-AM"/>
        </w:rPr>
        <w:t xml:space="preserve"> իր գործը կարող էր տարբերվել Բիլբերգի նշված գործից։</w:t>
      </w:r>
    </w:p>
    <w:p w:rsidR="00EA5ECD" w:rsidRPr="009F0601" w:rsidRDefault="00EA5ECD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EA5ECD" w:rsidRPr="00951A23" w:rsidRDefault="00EA5ECD" w:rsidP="00F37008">
      <w:pPr>
        <w:jc w:val="both"/>
        <w:rPr>
          <w:rFonts w:ascii="Sylfaen" w:hAnsi="Sylfaen"/>
          <w:sz w:val="36"/>
          <w:szCs w:val="36"/>
          <w:lang w:val="hy-AM"/>
        </w:rPr>
      </w:pPr>
      <w:r w:rsidRPr="00951A23">
        <w:rPr>
          <w:rFonts w:ascii="Sylfaen" w:hAnsi="Sylfaen"/>
          <w:sz w:val="36"/>
          <w:szCs w:val="36"/>
          <w:lang w:val="hy-AM"/>
        </w:rPr>
        <w:t xml:space="preserve">Դիմողը չի ներկայացրել որևէ ապացույց առ այն, որ իր ամսեկան վարձատրության նվազեցումը որևէ կերպ ազդել է </w:t>
      </w:r>
      <w:r w:rsidR="000D20AB" w:rsidRPr="00951A23">
        <w:rPr>
          <w:rFonts w:ascii="Sylfaen" w:hAnsi="Sylfaen"/>
          <w:sz w:val="36"/>
          <w:szCs w:val="36"/>
          <w:lang w:val="hy-AM"/>
        </w:rPr>
        <w:t>իր “</w:t>
      </w:r>
      <w:r w:rsidR="0035197F" w:rsidRPr="00951A23">
        <w:rPr>
          <w:rFonts w:ascii="Sylfaen" w:hAnsi="Sylfaen"/>
          <w:sz w:val="36"/>
          <w:szCs w:val="36"/>
          <w:lang w:val="hy-AM"/>
        </w:rPr>
        <w:t>նեղ</w:t>
      </w:r>
      <w:r w:rsidR="00951A23" w:rsidRPr="00951A23">
        <w:rPr>
          <w:rFonts w:ascii="Sylfaen" w:hAnsi="Sylfaen"/>
          <w:sz w:val="36"/>
          <w:szCs w:val="36"/>
          <w:lang w:val="hy-AM"/>
        </w:rPr>
        <w:t xml:space="preserve"> </w:t>
      </w:r>
      <w:r w:rsidR="0035197F" w:rsidRPr="00951A23">
        <w:rPr>
          <w:rFonts w:ascii="Sylfaen" w:hAnsi="Sylfaen"/>
          <w:sz w:val="36"/>
          <w:szCs w:val="36"/>
          <w:lang w:val="hy-AM"/>
        </w:rPr>
        <w:t>շրջանակի</w:t>
      </w:r>
      <w:r w:rsidR="000D20AB" w:rsidRPr="00951A23">
        <w:rPr>
          <w:rFonts w:ascii="Sylfaen" w:hAnsi="Sylfaen"/>
          <w:sz w:val="36"/>
          <w:szCs w:val="36"/>
          <w:lang w:val="hy-AM"/>
        </w:rPr>
        <w:t xml:space="preserve">” վրա։ </w:t>
      </w:r>
      <w:r w:rsidR="0035197F" w:rsidRPr="00951A23">
        <w:rPr>
          <w:rFonts w:ascii="Sylfaen" w:hAnsi="Sylfaen"/>
          <w:sz w:val="36"/>
          <w:szCs w:val="36"/>
          <w:lang w:val="hy-AM"/>
        </w:rPr>
        <w:t xml:space="preserve">Ինչ վերաբերում է այլոց հետ հարաբերություններ ստեղծելուն և պահպանելուն, նախագահի պաշտոնից նրան ազատելը չի հանգեցրել նրան դատավորի պաշտոնից ազատելուն։ Նա շարունակել է աշխատել, որպես շարքային դատավոր իր կոլեգաների հետ միևնույն դատարանում։ Եթե նույնիսկ </w:t>
      </w:r>
      <w:r w:rsidR="00395D7A" w:rsidRPr="00951A23">
        <w:rPr>
          <w:rFonts w:ascii="Sylfaen" w:hAnsi="Sylfaen"/>
          <w:sz w:val="36"/>
          <w:szCs w:val="36"/>
          <w:lang w:val="hy-AM"/>
        </w:rPr>
        <w:t>վնասված լիներ</w:t>
      </w:r>
      <w:r w:rsidR="0035197F" w:rsidRPr="00951A23">
        <w:rPr>
          <w:rFonts w:ascii="Sylfaen" w:hAnsi="Sylfaen"/>
          <w:sz w:val="36"/>
          <w:szCs w:val="36"/>
          <w:lang w:val="hy-AM"/>
        </w:rPr>
        <w:t xml:space="preserve"> դիմողի </w:t>
      </w:r>
      <w:r w:rsidR="00395D7A" w:rsidRPr="00951A23">
        <w:rPr>
          <w:rFonts w:ascii="Sylfaen" w:hAnsi="Sylfaen"/>
          <w:sz w:val="36"/>
          <w:szCs w:val="36"/>
          <w:lang w:val="hy-AM"/>
        </w:rPr>
        <w:t>հնարավորությունն</w:t>
      </w:r>
      <w:r w:rsidR="0035197F" w:rsidRPr="00951A23">
        <w:rPr>
          <w:rFonts w:ascii="Sylfaen" w:hAnsi="Sylfaen"/>
          <w:sz w:val="36"/>
          <w:szCs w:val="36"/>
          <w:lang w:val="hy-AM"/>
        </w:rPr>
        <w:t xml:space="preserve"> ստեղծելու և պահպանելու հարաբերություններ, </w:t>
      </w:r>
      <w:r w:rsidR="00395D7A" w:rsidRPr="00951A23">
        <w:rPr>
          <w:rFonts w:ascii="Sylfaen" w:hAnsi="Sylfaen"/>
          <w:sz w:val="36"/>
          <w:szCs w:val="36"/>
          <w:lang w:val="hy-AM"/>
        </w:rPr>
        <w:t>ներառյա</w:t>
      </w:r>
      <w:r w:rsidR="0035197F" w:rsidRPr="00951A23">
        <w:rPr>
          <w:rFonts w:ascii="Sylfaen" w:hAnsi="Sylfaen"/>
          <w:sz w:val="36"/>
          <w:szCs w:val="36"/>
          <w:lang w:val="hy-AM"/>
        </w:rPr>
        <w:t xml:space="preserve">լ՝ մասնագիտական բնույթի </w:t>
      </w:r>
      <w:r w:rsidR="00395D7A" w:rsidRPr="00951A23">
        <w:rPr>
          <w:rFonts w:ascii="Sylfaen" w:hAnsi="Sylfaen"/>
          <w:sz w:val="36"/>
          <w:szCs w:val="36"/>
          <w:lang w:val="hy-AM"/>
        </w:rPr>
        <w:t>հարաբերություններ</w:t>
      </w:r>
      <w:r w:rsidR="0035197F" w:rsidRPr="00951A23">
        <w:rPr>
          <w:rFonts w:ascii="Sylfaen" w:hAnsi="Sylfaen"/>
          <w:sz w:val="36"/>
          <w:szCs w:val="36"/>
          <w:lang w:val="hy-AM"/>
        </w:rPr>
        <w:t>, չեն եղել որևէ փաստական հիմքեր եզրակացնելու, թե նման վնասները եղել են էական։</w:t>
      </w:r>
    </w:p>
    <w:p w:rsidR="0035197F" w:rsidRPr="00951A23" w:rsidRDefault="0035197F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35197F" w:rsidRPr="004F2344" w:rsidRDefault="0035197F" w:rsidP="00F37008">
      <w:pPr>
        <w:jc w:val="both"/>
        <w:rPr>
          <w:rFonts w:ascii="Sylfaen" w:hAnsi="Sylfaen"/>
          <w:sz w:val="36"/>
          <w:szCs w:val="36"/>
          <w:lang w:val="hy-AM"/>
        </w:rPr>
      </w:pPr>
      <w:r w:rsidRPr="004F2344">
        <w:rPr>
          <w:rFonts w:ascii="Sylfaen" w:hAnsi="Sylfaen"/>
          <w:sz w:val="36"/>
          <w:szCs w:val="36"/>
          <w:lang w:val="hy-AM"/>
        </w:rPr>
        <w:t>Դիմողի հիմնական մասնագիտական գ</w:t>
      </w:r>
      <w:r w:rsidR="00D223B5" w:rsidRPr="004F2344">
        <w:rPr>
          <w:rFonts w:ascii="Sylfaen" w:hAnsi="Sylfaen"/>
          <w:sz w:val="36"/>
          <w:szCs w:val="36"/>
          <w:lang w:val="hy-AM"/>
        </w:rPr>
        <w:t>ործառ</w:t>
      </w:r>
      <w:r w:rsidRPr="004F2344">
        <w:rPr>
          <w:rFonts w:ascii="Sylfaen" w:hAnsi="Sylfaen"/>
          <w:sz w:val="36"/>
          <w:szCs w:val="36"/>
          <w:lang w:val="hy-AM"/>
        </w:rPr>
        <w:t xml:space="preserve">ույթը եղել է դատավորի աշխատանքը։ Դատավորի մասնագիտությունը պահանջել է նրանից ունենալու հատուկ գիտելիքներ, մասնագիտական որակավորումներ, հմտություններ և փորձ։ Որպես այդ պաշտոնում մատուցված </w:t>
      </w:r>
      <w:r w:rsidR="00D223B5" w:rsidRPr="004F2344">
        <w:rPr>
          <w:rFonts w:ascii="Sylfaen" w:hAnsi="Sylfaen"/>
          <w:sz w:val="36"/>
          <w:szCs w:val="36"/>
          <w:lang w:val="hy-AM"/>
        </w:rPr>
        <w:t>ծ</w:t>
      </w:r>
      <w:r w:rsidRPr="004F2344">
        <w:rPr>
          <w:rFonts w:ascii="Sylfaen" w:hAnsi="Sylfaen"/>
          <w:sz w:val="36"/>
          <w:szCs w:val="36"/>
          <w:lang w:val="hy-AM"/>
        </w:rPr>
        <w:t xml:space="preserve">արայությունների դիմաց փոխհատուցում՝ դիմողն ստացել է իր վաձատրության </w:t>
      </w:r>
      <w:r w:rsidR="00D223B5" w:rsidRPr="004F2344">
        <w:rPr>
          <w:rFonts w:ascii="Sylfaen" w:hAnsi="Sylfaen"/>
          <w:sz w:val="36"/>
          <w:szCs w:val="36"/>
          <w:lang w:val="hy-AM"/>
        </w:rPr>
        <w:t>գերակշռող</w:t>
      </w:r>
      <w:r w:rsidRPr="004F2344">
        <w:rPr>
          <w:rFonts w:ascii="Sylfaen" w:hAnsi="Sylfaen"/>
          <w:sz w:val="36"/>
          <w:szCs w:val="36"/>
          <w:lang w:val="hy-AM"/>
        </w:rPr>
        <w:t xml:space="preserve"> մասը։ </w:t>
      </w:r>
      <w:r w:rsidR="005C2555" w:rsidRPr="004F2344">
        <w:rPr>
          <w:rFonts w:ascii="Sylfaen" w:hAnsi="Sylfaen"/>
          <w:sz w:val="36"/>
          <w:szCs w:val="36"/>
          <w:lang w:val="hy-AM"/>
        </w:rPr>
        <w:t xml:space="preserve">Դատարանում նախագահական </w:t>
      </w:r>
      <w:r w:rsidR="005C2555" w:rsidRPr="004F2344">
        <w:rPr>
          <w:rFonts w:ascii="Sylfaen" w:hAnsi="Sylfaen"/>
          <w:sz w:val="36"/>
          <w:szCs w:val="36"/>
          <w:lang w:val="hy-AM"/>
        </w:rPr>
        <w:lastRenderedPageBreak/>
        <w:t xml:space="preserve">կամ </w:t>
      </w:r>
      <w:r w:rsidR="00D223B5" w:rsidRPr="004F2344">
        <w:rPr>
          <w:rFonts w:ascii="Sylfaen" w:hAnsi="Sylfaen"/>
          <w:sz w:val="36"/>
          <w:szCs w:val="36"/>
          <w:lang w:val="hy-AM"/>
        </w:rPr>
        <w:t>վարչ</w:t>
      </w:r>
      <w:r w:rsidR="005C2555" w:rsidRPr="004F2344">
        <w:rPr>
          <w:rFonts w:ascii="Sylfaen" w:hAnsi="Sylfaen"/>
          <w:sz w:val="36"/>
          <w:szCs w:val="36"/>
          <w:lang w:val="hy-AM"/>
        </w:rPr>
        <w:t>ական գործառույթի</w:t>
      </w:r>
      <w:r w:rsidR="004F2344" w:rsidRPr="004F2344">
        <w:rPr>
          <w:rFonts w:ascii="Sylfaen" w:hAnsi="Sylfaen"/>
          <w:sz w:val="36"/>
          <w:szCs w:val="36"/>
          <w:lang w:val="hy-AM"/>
        </w:rPr>
        <w:t xml:space="preserve"> </w:t>
      </w:r>
      <w:r w:rsidR="005C2555" w:rsidRPr="004F2344">
        <w:rPr>
          <w:rFonts w:ascii="Sylfaen" w:hAnsi="Sylfaen"/>
          <w:sz w:val="36"/>
          <w:szCs w:val="36"/>
          <w:lang w:val="hy-AM"/>
        </w:rPr>
        <w:t>բարեհաջող իրականացումը չի եղել, կոպիտ ասած, դատավորի մասնագիտության</w:t>
      </w:r>
      <w:r w:rsidR="00D223B5" w:rsidRPr="004F2344">
        <w:rPr>
          <w:rFonts w:ascii="Sylfaen" w:hAnsi="Sylfaen"/>
          <w:sz w:val="36"/>
          <w:szCs w:val="36"/>
          <w:lang w:val="hy-AM"/>
        </w:rPr>
        <w:t>ը</w:t>
      </w:r>
      <w:r w:rsidR="005C2555" w:rsidRPr="004F2344">
        <w:rPr>
          <w:rFonts w:ascii="Sylfaen" w:hAnsi="Sylfaen"/>
          <w:sz w:val="36"/>
          <w:szCs w:val="36"/>
          <w:lang w:val="hy-AM"/>
        </w:rPr>
        <w:t xml:space="preserve"> բնորոշ </w:t>
      </w:r>
      <w:r w:rsidR="00D223B5" w:rsidRPr="004F2344">
        <w:rPr>
          <w:rFonts w:ascii="Sylfaen" w:hAnsi="Sylfaen"/>
          <w:sz w:val="36"/>
          <w:szCs w:val="36"/>
          <w:lang w:val="hy-AM"/>
        </w:rPr>
        <w:t>հատկանիշ</w:t>
      </w:r>
      <w:r w:rsidR="005C2555" w:rsidRPr="004F2344">
        <w:rPr>
          <w:rFonts w:ascii="Sylfaen" w:hAnsi="Sylfaen"/>
          <w:sz w:val="36"/>
          <w:szCs w:val="36"/>
          <w:lang w:val="hy-AM"/>
        </w:rPr>
        <w:t xml:space="preserve">։ Այդ իսկ </w:t>
      </w:r>
      <w:r w:rsidR="00620411">
        <w:rPr>
          <w:rFonts w:ascii="Sylfaen" w:hAnsi="Sylfaen"/>
          <w:sz w:val="36"/>
          <w:szCs w:val="36"/>
          <w:lang w:val="hy-AM"/>
        </w:rPr>
        <w:t>պատճա</w:t>
      </w:r>
      <w:r w:rsidR="00620411" w:rsidRPr="00620411">
        <w:rPr>
          <w:rFonts w:ascii="Sylfaen" w:hAnsi="Sylfaen"/>
          <w:sz w:val="36"/>
          <w:szCs w:val="36"/>
          <w:lang w:val="hy-AM"/>
        </w:rPr>
        <w:t>ռ</w:t>
      </w:r>
      <w:r w:rsidR="005C2555" w:rsidRPr="004F2344">
        <w:rPr>
          <w:rFonts w:ascii="Sylfaen" w:hAnsi="Sylfaen"/>
          <w:sz w:val="36"/>
          <w:szCs w:val="36"/>
          <w:lang w:val="hy-AM"/>
        </w:rPr>
        <w:t xml:space="preserve">ով, օբյեկտիվ </w:t>
      </w:r>
      <w:r w:rsidR="00D223B5" w:rsidRPr="004F2344">
        <w:rPr>
          <w:rFonts w:ascii="Sylfaen" w:hAnsi="Sylfaen"/>
          <w:sz w:val="36"/>
          <w:szCs w:val="36"/>
          <w:lang w:val="hy-AM"/>
        </w:rPr>
        <w:t>առ</w:t>
      </w:r>
      <w:r w:rsidR="005C2555" w:rsidRPr="004F2344">
        <w:rPr>
          <w:rFonts w:ascii="Sylfaen" w:hAnsi="Sylfaen"/>
          <w:sz w:val="36"/>
          <w:szCs w:val="36"/>
          <w:lang w:val="hy-AM"/>
        </w:rPr>
        <w:t xml:space="preserve">ումով դատավորի մասնագիտական </w:t>
      </w:r>
      <w:r w:rsidR="00D223B5" w:rsidRPr="004F2344">
        <w:rPr>
          <w:rFonts w:ascii="Sylfaen" w:hAnsi="Sylfaen"/>
          <w:sz w:val="36"/>
          <w:szCs w:val="36"/>
          <w:lang w:val="hy-AM"/>
        </w:rPr>
        <w:t>գործառ</w:t>
      </w:r>
      <w:r w:rsidR="005C2555" w:rsidRPr="004F2344">
        <w:rPr>
          <w:rFonts w:ascii="Sylfaen" w:hAnsi="Sylfaen"/>
          <w:sz w:val="36"/>
          <w:szCs w:val="36"/>
          <w:lang w:val="hy-AM"/>
        </w:rPr>
        <w:t xml:space="preserve">ույթն է, որ կանխորոշել է դիմողի հիմնական մասնագիտական դերը։ Նրա աշխատանքը դատարանի նախագահի պաշտոնում իհարկե եղել է կարևոր և հեղինակավոր դատական համակարգում, սակայն </w:t>
      </w:r>
      <w:r w:rsidR="00D223B5" w:rsidRPr="004F2344">
        <w:rPr>
          <w:rFonts w:ascii="Sylfaen" w:hAnsi="Sylfaen"/>
          <w:sz w:val="36"/>
          <w:szCs w:val="36"/>
          <w:lang w:val="hy-AM"/>
        </w:rPr>
        <w:t xml:space="preserve">ինչ չափով էլ </w:t>
      </w:r>
      <w:r w:rsidR="005C2555" w:rsidRPr="004F2344">
        <w:rPr>
          <w:rFonts w:ascii="Sylfaen" w:hAnsi="Sylfaen"/>
          <w:sz w:val="36"/>
          <w:szCs w:val="36"/>
          <w:lang w:val="hy-AM"/>
        </w:rPr>
        <w:t xml:space="preserve">, որ այն ընկալված և գնահատված </w:t>
      </w:r>
      <w:r w:rsidR="00D223B5" w:rsidRPr="004F2344">
        <w:rPr>
          <w:rFonts w:ascii="Sylfaen" w:hAnsi="Sylfaen"/>
          <w:sz w:val="36"/>
          <w:szCs w:val="36"/>
          <w:lang w:val="hy-AM"/>
        </w:rPr>
        <w:t>լինի</w:t>
      </w:r>
      <w:r w:rsidR="005C2555" w:rsidRPr="004F2344">
        <w:rPr>
          <w:rFonts w:ascii="Sylfaen" w:hAnsi="Sylfaen"/>
          <w:sz w:val="36"/>
          <w:szCs w:val="36"/>
          <w:lang w:val="hy-AM"/>
        </w:rPr>
        <w:t xml:space="preserve"> դիմողի կողմից, այն չի առնչվել նրա մասնագիտական </w:t>
      </w:r>
      <w:r w:rsidR="00D223B5" w:rsidRPr="004F2344">
        <w:rPr>
          <w:rFonts w:ascii="Sylfaen" w:hAnsi="Sylfaen"/>
          <w:sz w:val="36"/>
          <w:szCs w:val="36"/>
          <w:lang w:val="hy-AM"/>
        </w:rPr>
        <w:t>գոր</w:t>
      </w:r>
      <w:r w:rsidR="005C2555" w:rsidRPr="004F2344">
        <w:rPr>
          <w:rFonts w:ascii="Sylfaen" w:hAnsi="Sylfaen"/>
          <w:sz w:val="36"/>
          <w:szCs w:val="36"/>
          <w:lang w:val="hy-AM"/>
        </w:rPr>
        <w:t xml:space="preserve">ծունեության ոլորտին։ </w:t>
      </w:r>
      <w:r w:rsidR="00CC3D6B" w:rsidRPr="004F2344">
        <w:rPr>
          <w:rFonts w:ascii="Sylfaen" w:hAnsi="Sylfaen"/>
          <w:sz w:val="36"/>
          <w:szCs w:val="36"/>
          <w:lang w:val="hy-AM"/>
        </w:rPr>
        <w:t xml:space="preserve">Ներպետական մարմինները որևէ կերպ չեն քննել դիմողի՝ որպես դատավորի գործելակերպը, ինչպես նաև չեն հայտնել որևէ կարծիք նրա դատական իրավասության կամ մասնագիտական հմտությունների վերաբերյալ։ </w:t>
      </w:r>
      <w:r w:rsidR="00D202B3" w:rsidRPr="004F2344">
        <w:rPr>
          <w:rFonts w:ascii="Sylfaen" w:hAnsi="Sylfaen"/>
          <w:sz w:val="36"/>
          <w:szCs w:val="36"/>
          <w:lang w:val="hy-AM"/>
        </w:rPr>
        <w:t xml:space="preserve">Ի տարբերություն Օլեքսանդր Վոլկովն ընդդեմ Ուկրաինայի </w:t>
      </w:r>
      <w:r w:rsidR="00D223B5" w:rsidRPr="004F2344">
        <w:rPr>
          <w:rFonts w:ascii="Sylfaen" w:hAnsi="Sylfaen"/>
          <w:sz w:val="36"/>
          <w:szCs w:val="36"/>
          <w:lang w:val="hy-AM"/>
        </w:rPr>
        <w:t>գո</w:t>
      </w:r>
      <w:r w:rsidR="00D202B3" w:rsidRPr="004F2344">
        <w:rPr>
          <w:rFonts w:ascii="Sylfaen" w:hAnsi="Sylfaen"/>
          <w:sz w:val="36"/>
          <w:szCs w:val="36"/>
          <w:lang w:val="hy-AM"/>
        </w:rPr>
        <w:t>ր</w:t>
      </w:r>
      <w:r w:rsidR="00D223B5" w:rsidRPr="004F2344">
        <w:rPr>
          <w:rFonts w:ascii="Sylfaen" w:hAnsi="Sylfaen"/>
          <w:sz w:val="36"/>
          <w:szCs w:val="36"/>
          <w:lang w:val="hy-AM"/>
        </w:rPr>
        <w:t>ծ</w:t>
      </w:r>
      <w:r w:rsidR="00D202B3" w:rsidRPr="004F2344">
        <w:rPr>
          <w:rFonts w:ascii="Sylfaen" w:hAnsi="Sylfaen"/>
          <w:sz w:val="36"/>
          <w:szCs w:val="36"/>
          <w:lang w:val="hy-AM"/>
        </w:rPr>
        <w:t xml:space="preserve">ի՝ որոշումներն </w:t>
      </w:r>
      <w:r w:rsidR="00D223B5" w:rsidRPr="004F2344">
        <w:rPr>
          <w:rFonts w:ascii="Sylfaen" w:hAnsi="Sylfaen"/>
          <w:sz w:val="36"/>
          <w:szCs w:val="36"/>
          <w:lang w:val="hy-AM"/>
        </w:rPr>
        <w:t>առ</w:t>
      </w:r>
      <w:r w:rsidR="00D202B3" w:rsidRPr="004F2344">
        <w:rPr>
          <w:rFonts w:ascii="Sylfaen" w:hAnsi="Sylfaen"/>
          <w:sz w:val="36"/>
          <w:szCs w:val="36"/>
          <w:lang w:val="hy-AM"/>
        </w:rPr>
        <w:t xml:space="preserve">նչվել են միայն նրա </w:t>
      </w:r>
      <w:r w:rsidR="00D223B5" w:rsidRPr="004F2344">
        <w:rPr>
          <w:rFonts w:ascii="Sylfaen" w:hAnsi="Sylfaen"/>
          <w:sz w:val="36"/>
          <w:szCs w:val="36"/>
          <w:lang w:val="hy-AM"/>
        </w:rPr>
        <w:t>կառ</w:t>
      </w:r>
      <w:r w:rsidR="00D202B3" w:rsidRPr="004F2344">
        <w:rPr>
          <w:rFonts w:ascii="Sylfaen" w:hAnsi="Sylfaen"/>
          <w:sz w:val="36"/>
          <w:szCs w:val="36"/>
          <w:lang w:val="hy-AM"/>
        </w:rPr>
        <w:t xml:space="preserve">ավարչական հմտություններին։ </w:t>
      </w:r>
      <w:r w:rsidR="00D223B5" w:rsidRPr="004F2344">
        <w:rPr>
          <w:rFonts w:ascii="Sylfaen" w:hAnsi="Sylfaen"/>
          <w:sz w:val="36"/>
          <w:szCs w:val="36"/>
          <w:lang w:val="hy-AM"/>
        </w:rPr>
        <w:t>Քն</w:t>
      </w:r>
      <w:r w:rsidR="00D202B3" w:rsidRPr="004F2344">
        <w:rPr>
          <w:rFonts w:ascii="Sylfaen" w:hAnsi="Sylfaen"/>
          <w:sz w:val="36"/>
          <w:szCs w:val="36"/>
          <w:lang w:val="hy-AM"/>
        </w:rPr>
        <w:t>նության և քննադատության այդ սահմանափակ ոլորտը չի կարող դիտվել որպես դիմողի մասնագիտական հեղինակության հիմք։ Չնայած որ</w:t>
      </w:r>
      <w:r w:rsidR="00D223B5" w:rsidRPr="004F2344">
        <w:rPr>
          <w:rFonts w:ascii="Sylfaen" w:hAnsi="Sylfaen"/>
          <w:sz w:val="36"/>
          <w:szCs w:val="36"/>
          <w:lang w:val="hy-AM"/>
        </w:rPr>
        <w:t>,</w:t>
      </w:r>
      <w:r w:rsidR="00D202B3" w:rsidRPr="004F2344">
        <w:rPr>
          <w:rFonts w:ascii="Sylfaen" w:hAnsi="Sylfaen"/>
          <w:sz w:val="36"/>
          <w:szCs w:val="36"/>
          <w:lang w:val="hy-AM"/>
        </w:rPr>
        <w:t xml:space="preserve"> նախագահի նրա պաշտոնը կարող է լինել նրա </w:t>
      </w:r>
      <w:r w:rsidR="00D223B5" w:rsidRPr="004F2344">
        <w:rPr>
          <w:rFonts w:ascii="Sylfaen" w:hAnsi="Sylfaen"/>
          <w:sz w:val="36"/>
          <w:szCs w:val="36"/>
          <w:lang w:val="hy-AM"/>
        </w:rPr>
        <w:t>կարիե</w:t>
      </w:r>
      <w:r w:rsidR="00D202B3" w:rsidRPr="004F2344">
        <w:rPr>
          <w:rFonts w:ascii="Sylfaen" w:hAnsi="Sylfaen"/>
          <w:sz w:val="36"/>
          <w:szCs w:val="36"/>
          <w:lang w:val="hy-AM"/>
        </w:rPr>
        <w:t xml:space="preserve">րայի գագաթնակետը, այդուհանդերձ նա չի հստակեցրել, թե ինչպես </w:t>
      </w:r>
      <w:r w:rsidR="00A55345" w:rsidRPr="004F2344">
        <w:rPr>
          <w:rFonts w:ascii="Sylfaen" w:hAnsi="Sylfaen"/>
          <w:sz w:val="36"/>
          <w:szCs w:val="36"/>
          <w:lang w:val="hy-AM"/>
        </w:rPr>
        <w:t>է կոլեգաների շրջանակում</w:t>
      </w:r>
      <w:r w:rsidR="00D223B5" w:rsidRPr="004F2344">
        <w:rPr>
          <w:rFonts w:ascii="Sylfaen" w:hAnsi="Sylfaen"/>
          <w:sz w:val="36"/>
          <w:szCs w:val="36"/>
          <w:lang w:val="hy-AM"/>
        </w:rPr>
        <w:t>, այդպես կոչված,</w:t>
      </w:r>
      <w:r w:rsidR="00A55345" w:rsidRPr="004F2344">
        <w:rPr>
          <w:rFonts w:ascii="Sylfaen" w:hAnsi="Sylfaen"/>
          <w:sz w:val="36"/>
          <w:szCs w:val="36"/>
          <w:lang w:val="hy-AM"/>
        </w:rPr>
        <w:t xml:space="preserve"> հարգանքի կորուստը </w:t>
      </w:r>
      <w:r w:rsidR="00D223B5" w:rsidRPr="004F2344">
        <w:rPr>
          <w:rFonts w:ascii="Sylfaen" w:hAnsi="Sylfaen"/>
          <w:sz w:val="36"/>
          <w:szCs w:val="36"/>
          <w:lang w:val="hy-AM"/>
        </w:rPr>
        <w:t>պատճառ</w:t>
      </w:r>
      <w:r w:rsidR="00A55345" w:rsidRPr="004F2344">
        <w:rPr>
          <w:rFonts w:ascii="Sylfaen" w:hAnsi="Sylfaen"/>
          <w:sz w:val="36"/>
          <w:szCs w:val="36"/>
          <w:lang w:val="hy-AM"/>
        </w:rPr>
        <w:t xml:space="preserve">ել իրեն </w:t>
      </w:r>
      <w:r w:rsidR="00D223B5" w:rsidRPr="004F2344">
        <w:rPr>
          <w:rFonts w:ascii="Sylfaen" w:hAnsi="Sylfaen"/>
          <w:sz w:val="36"/>
          <w:szCs w:val="36"/>
          <w:lang w:val="hy-AM"/>
        </w:rPr>
        <w:t>լուր</w:t>
      </w:r>
      <w:r w:rsidR="00A55345" w:rsidRPr="004F2344">
        <w:rPr>
          <w:rFonts w:ascii="Sylfaen" w:hAnsi="Sylfaen"/>
          <w:sz w:val="36"/>
          <w:szCs w:val="36"/>
          <w:lang w:val="hy-AM"/>
        </w:rPr>
        <w:t xml:space="preserve">ջ վնաս իր մասնագիտական բնագավառում կամ, թե ինչպես է </w:t>
      </w:r>
      <w:r w:rsidR="00D223B5" w:rsidRPr="004F2344">
        <w:rPr>
          <w:rFonts w:ascii="Sylfaen" w:hAnsi="Sylfaen"/>
          <w:sz w:val="36"/>
          <w:szCs w:val="36"/>
          <w:lang w:val="hy-AM"/>
        </w:rPr>
        <w:t>իրեն</w:t>
      </w:r>
      <w:r w:rsidR="00A55345" w:rsidRPr="004F2344">
        <w:rPr>
          <w:rFonts w:ascii="Sylfaen" w:hAnsi="Sylfaen"/>
          <w:sz w:val="36"/>
          <w:szCs w:val="36"/>
          <w:lang w:val="hy-AM"/>
        </w:rPr>
        <w:t xml:space="preserve"> պաշտոնից </w:t>
      </w:r>
      <w:r w:rsidR="00D223B5" w:rsidRPr="004F2344">
        <w:rPr>
          <w:rFonts w:ascii="Sylfaen" w:hAnsi="Sylfaen"/>
          <w:sz w:val="36"/>
          <w:szCs w:val="36"/>
          <w:lang w:val="hy-AM"/>
        </w:rPr>
        <w:t>ազատելն</w:t>
      </w:r>
      <w:r w:rsidR="00A55345" w:rsidRPr="004F2344">
        <w:rPr>
          <w:rFonts w:ascii="Sylfaen" w:hAnsi="Sylfaen"/>
          <w:sz w:val="36"/>
          <w:szCs w:val="36"/>
          <w:lang w:val="hy-AM"/>
        </w:rPr>
        <w:t xml:space="preserve"> ազդել իր</w:t>
      </w:r>
      <w:r w:rsidR="00D223B5" w:rsidRPr="004F2344">
        <w:rPr>
          <w:rFonts w:ascii="Sylfaen" w:hAnsi="Sylfaen"/>
          <w:sz w:val="36"/>
          <w:szCs w:val="36"/>
          <w:lang w:val="hy-AM"/>
        </w:rPr>
        <w:t xml:space="preserve">՝որպես դատավորի, </w:t>
      </w:r>
      <w:r w:rsidR="00A55345" w:rsidRPr="004F2344">
        <w:rPr>
          <w:rFonts w:ascii="Sylfaen" w:hAnsi="Sylfaen"/>
          <w:sz w:val="36"/>
          <w:szCs w:val="36"/>
          <w:lang w:val="hy-AM"/>
        </w:rPr>
        <w:t xml:space="preserve">հետագա կարիերայի </w:t>
      </w:r>
      <w:r w:rsidR="00D223B5" w:rsidRPr="004F2344">
        <w:rPr>
          <w:rFonts w:ascii="Sylfaen" w:hAnsi="Sylfaen"/>
          <w:sz w:val="36"/>
          <w:szCs w:val="36"/>
          <w:lang w:val="hy-AM"/>
        </w:rPr>
        <w:t>վրա</w:t>
      </w:r>
      <w:r w:rsidR="00A55345" w:rsidRPr="004F2344">
        <w:rPr>
          <w:rFonts w:ascii="Sylfaen" w:hAnsi="Sylfaen"/>
          <w:sz w:val="36"/>
          <w:szCs w:val="36"/>
          <w:lang w:val="hy-AM"/>
        </w:rPr>
        <w:t>։</w:t>
      </w:r>
    </w:p>
    <w:p w:rsidR="00A55345" w:rsidRDefault="00A55345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A55345" w:rsidRDefault="00A55345" w:rsidP="00F37008">
      <w:pPr>
        <w:jc w:val="both"/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lastRenderedPageBreak/>
        <w:t xml:space="preserve">Ինչ վերաբերում է, ընդհանուր </w:t>
      </w:r>
      <w:r w:rsidR="00D223B5">
        <w:rPr>
          <w:rFonts w:ascii="Sylfaen" w:hAnsi="Sylfaen"/>
          <w:sz w:val="36"/>
          <w:szCs w:val="36"/>
          <w:lang w:val="hy-AM"/>
        </w:rPr>
        <w:t>առ</w:t>
      </w:r>
      <w:r>
        <w:rPr>
          <w:rFonts w:ascii="Sylfaen" w:hAnsi="Sylfaen"/>
          <w:sz w:val="36"/>
          <w:szCs w:val="36"/>
          <w:lang w:val="hy-AM"/>
        </w:rPr>
        <w:t>մամբ, սոցիալական համբավին՝ իշխանությունների կողմից քննադատությունները</w:t>
      </w:r>
      <w:r w:rsidR="00B34A2D" w:rsidRPr="00B34A2D">
        <w:rPr>
          <w:rFonts w:ascii="Sylfaen" w:hAnsi="Sylfaen"/>
          <w:sz w:val="36"/>
          <w:szCs w:val="36"/>
          <w:lang w:val="hy-AM"/>
        </w:rPr>
        <w:t xml:space="preserve"> </w:t>
      </w:r>
      <w:r>
        <w:rPr>
          <w:rFonts w:ascii="Sylfaen" w:hAnsi="Sylfaen"/>
          <w:sz w:val="36"/>
          <w:szCs w:val="36"/>
          <w:lang w:val="hy-AM"/>
        </w:rPr>
        <w:t xml:space="preserve">չեն </w:t>
      </w:r>
      <w:r w:rsidR="00D223B5">
        <w:rPr>
          <w:rFonts w:ascii="Sylfaen" w:hAnsi="Sylfaen"/>
          <w:sz w:val="36"/>
          <w:szCs w:val="36"/>
          <w:lang w:val="hy-AM"/>
        </w:rPr>
        <w:t>հնչ</w:t>
      </w:r>
      <w:r>
        <w:rPr>
          <w:rFonts w:ascii="Sylfaen" w:hAnsi="Sylfaen"/>
          <w:sz w:val="36"/>
          <w:szCs w:val="36"/>
          <w:lang w:val="hy-AM"/>
        </w:rPr>
        <w:t xml:space="preserve">ել դիմողի </w:t>
      </w:r>
      <w:r w:rsidR="00D223B5">
        <w:rPr>
          <w:rFonts w:ascii="Sylfaen" w:hAnsi="Sylfaen"/>
          <w:sz w:val="36"/>
          <w:szCs w:val="36"/>
          <w:lang w:val="hy-AM"/>
        </w:rPr>
        <w:t xml:space="preserve">անձին և բնավորությանն </w:t>
      </w:r>
      <w:r w:rsidR="0069627E">
        <w:rPr>
          <w:rFonts w:ascii="Sylfaen" w:hAnsi="Sylfaen"/>
          <w:sz w:val="36"/>
          <w:szCs w:val="36"/>
          <w:lang w:val="hy-AM"/>
        </w:rPr>
        <w:t>ա</w:t>
      </w:r>
      <w:r w:rsidR="0069627E" w:rsidRPr="0069627E">
        <w:rPr>
          <w:rFonts w:ascii="Sylfaen" w:hAnsi="Sylfaen"/>
          <w:sz w:val="36"/>
          <w:szCs w:val="36"/>
          <w:lang w:val="hy-AM"/>
        </w:rPr>
        <w:t>ռ</w:t>
      </w:r>
      <w:r w:rsidR="00D223B5">
        <w:rPr>
          <w:rFonts w:ascii="Sylfaen" w:hAnsi="Sylfaen"/>
          <w:sz w:val="36"/>
          <w:szCs w:val="36"/>
          <w:lang w:val="hy-AM"/>
        </w:rPr>
        <w:t>նչվող</w:t>
      </w:r>
      <w:r>
        <w:rPr>
          <w:rFonts w:ascii="Sylfaen" w:hAnsi="Sylfaen"/>
          <w:sz w:val="36"/>
          <w:szCs w:val="36"/>
          <w:lang w:val="hy-AM"/>
        </w:rPr>
        <w:t xml:space="preserve"> լայն էթիկական </w:t>
      </w:r>
      <w:r w:rsidR="00D223B5">
        <w:rPr>
          <w:rFonts w:ascii="Sylfaen" w:hAnsi="Sylfaen"/>
          <w:sz w:val="36"/>
          <w:szCs w:val="36"/>
          <w:lang w:val="hy-AM"/>
        </w:rPr>
        <w:t>ոլորտների առթիվ</w:t>
      </w:r>
      <w:r>
        <w:rPr>
          <w:rFonts w:ascii="Sylfaen" w:hAnsi="Sylfaen"/>
          <w:sz w:val="36"/>
          <w:szCs w:val="36"/>
          <w:lang w:val="hy-AM"/>
        </w:rPr>
        <w:t xml:space="preserve">։ Եթե նույնիսկ նրան պաշտոնից ազատելը հիմնված է եղել արդարադատություն իրականացնելիս պաշտոնական պարտականությունների խախտումների վերաբերյալ հետևությունների վրա, </w:t>
      </w:r>
      <w:r w:rsidR="00D223B5">
        <w:rPr>
          <w:rFonts w:ascii="Sylfaen" w:hAnsi="Sylfaen"/>
          <w:sz w:val="36"/>
          <w:szCs w:val="36"/>
          <w:lang w:val="hy-AM"/>
        </w:rPr>
        <w:t>առ</w:t>
      </w:r>
      <w:r>
        <w:rPr>
          <w:rFonts w:ascii="Sylfaen" w:hAnsi="Sylfaen"/>
          <w:sz w:val="36"/>
          <w:szCs w:val="36"/>
          <w:lang w:val="hy-AM"/>
        </w:rPr>
        <w:t>կա չի եղել դիտավորյալ խախտումների կամ քրեածին վարքագծի վերաբերյալ որևէ մեղադրանք։ Չեն քննարկվել դիմողի բարոյական արժեքները</w:t>
      </w:r>
      <w:r w:rsidR="00B90240">
        <w:rPr>
          <w:rFonts w:ascii="Sylfaen" w:hAnsi="Sylfaen"/>
          <w:sz w:val="36"/>
          <w:szCs w:val="36"/>
          <w:lang w:val="hy-AM"/>
        </w:rPr>
        <w:t xml:space="preserve">, ինչպես նաև չեն հայտնաբերվել այդ տեսակի որևէ այլ </w:t>
      </w:r>
      <w:r w:rsidR="00D223B5">
        <w:rPr>
          <w:rFonts w:ascii="Sylfaen" w:hAnsi="Sylfaen"/>
          <w:sz w:val="36"/>
          <w:szCs w:val="36"/>
          <w:lang w:val="hy-AM"/>
        </w:rPr>
        <w:t>ակնարկներ</w:t>
      </w:r>
      <w:r w:rsidR="00B90240">
        <w:rPr>
          <w:rFonts w:ascii="Sylfaen" w:hAnsi="Sylfaen"/>
          <w:sz w:val="36"/>
          <w:szCs w:val="36"/>
          <w:lang w:val="hy-AM"/>
        </w:rPr>
        <w:t xml:space="preserve"> քնն</w:t>
      </w:r>
      <w:r w:rsidR="00D223B5">
        <w:rPr>
          <w:rFonts w:ascii="Sylfaen" w:hAnsi="Sylfaen"/>
          <w:sz w:val="36"/>
          <w:szCs w:val="36"/>
          <w:lang w:val="hy-AM"/>
        </w:rPr>
        <w:t>արկ</w:t>
      </w:r>
      <w:r w:rsidR="00B90240">
        <w:rPr>
          <w:rFonts w:ascii="Sylfaen" w:hAnsi="Sylfaen"/>
          <w:sz w:val="36"/>
          <w:szCs w:val="36"/>
          <w:lang w:val="hy-AM"/>
        </w:rPr>
        <w:t xml:space="preserve">վող որոշումներում։ </w:t>
      </w:r>
    </w:p>
    <w:p w:rsidR="00B90240" w:rsidRPr="006B45D8" w:rsidRDefault="00B90240" w:rsidP="00F37008">
      <w:pPr>
        <w:jc w:val="both"/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Հետևաբար, դիտարկելով դիմողի սուբյեկտիվ ընկալումն ընդդեմ օբյեկտիվ նախապատմության և գնահատելով նրան պաշտոնից ազատելու նյութական և ոչ նյութական ազդեցությունը Դատարանին ներկայացված ապացույցների հիման վրա, անհրաժեշտ է գալ հետևության, որ դիմողին պաշտոնից ազատելն ունեցել է սահմանափակ բացասական ազդեցություն դիմողի անձնական կյանքի վրա և չի անցել լրջության սահմանը՝ Կոնվենցիայի </w:t>
      </w:r>
      <w:r w:rsidRPr="006B45D8">
        <w:rPr>
          <w:rFonts w:ascii="Sylfaen" w:hAnsi="Sylfaen"/>
          <w:sz w:val="36"/>
          <w:szCs w:val="36"/>
          <w:lang w:val="hy-AM"/>
        </w:rPr>
        <w:t xml:space="preserve">8-րդ հոդվածի ներքո խնդիր </w:t>
      </w:r>
      <w:r w:rsidR="00D223B5" w:rsidRPr="006B45D8">
        <w:rPr>
          <w:rFonts w:ascii="Sylfaen" w:hAnsi="Sylfaen"/>
          <w:sz w:val="36"/>
          <w:szCs w:val="36"/>
          <w:lang w:val="hy-AM"/>
        </w:rPr>
        <w:t>առ</w:t>
      </w:r>
      <w:r w:rsidRPr="006B45D8">
        <w:rPr>
          <w:rFonts w:ascii="Sylfaen" w:hAnsi="Sylfaen"/>
          <w:sz w:val="36"/>
          <w:szCs w:val="36"/>
          <w:lang w:val="hy-AM"/>
        </w:rPr>
        <w:t xml:space="preserve">աջացնելու համար։ </w:t>
      </w:r>
    </w:p>
    <w:p w:rsidR="00B90240" w:rsidRPr="006B45D8" w:rsidRDefault="00B90240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B90240" w:rsidRPr="00D223B5" w:rsidRDefault="00B90240" w:rsidP="00F37008">
      <w:pPr>
        <w:jc w:val="both"/>
        <w:rPr>
          <w:rFonts w:ascii="Sylfaen" w:hAnsi="Sylfaen"/>
          <w:b/>
          <w:i/>
          <w:sz w:val="36"/>
          <w:szCs w:val="36"/>
          <w:lang w:val="hy-AM"/>
        </w:rPr>
      </w:pPr>
      <w:r w:rsidRPr="006B45D8">
        <w:rPr>
          <w:rFonts w:ascii="Sylfaen" w:hAnsi="Sylfaen"/>
          <w:b/>
          <w:i/>
          <w:sz w:val="36"/>
          <w:szCs w:val="36"/>
          <w:lang w:val="hy-AM"/>
        </w:rPr>
        <w:t>Հետևություն. Անընդունելի (</w:t>
      </w:r>
      <w:r w:rsidR="00FD2E02" w:rsidRPr="006B45D8">
        <w:rPr>
          <w:rFonts w:ascii="Sylfaen" w:hAnsi="Sylfaen"/>
          <w:b/>
          <w:i/>
          <w:sz w:val="36"/>
          <w:szCs w:val="36"/>
          <w:lang w:val="hy-AM"/>
        </w:rPr>
        <w:t>անհամատեղելի ratione materiae</w:t>
      </w:r>
      <w:r w:rsidRPr="006B45D8">
        <w:rPr>
          <w:rFonts w:ascii="Sylfaen" w:hAnsi="Sylfaen"/>
          <w:b/>
          <w:i/>
          <w:sz w:val="36"/>
          <w:szCs w:val="36"/>
          <w:lang w:val="hy-AM"/>
        </w:rPr>
        <w:t>)</w:t>
      </w:r>
      <w:r w:rsidR="00FD2E02" w:rsidRPr="00D223B5">
        <w:rPr>
          <w:rFonts w:ascii="Sylfaen" w:hAnsi="Sylfaen"/>
          <w:b/>
          <w:i/>
          <w:sz w:val="36"/>
          <w:szCs w:val="36"/>
          <w:lang w:val="hy-AM"/>
        </w:rPr>
        <w:t>։</w:t>
      </w:r>
    </w:p>
    <w:p w:rsidR="00FD2E02" w:rsidRDefault="00FD2E02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FD2E02" w:rsidRDefault="00204C9F" w:rsidP="00F37008">
      <w:pPr>
        <w:jc w:val="both"/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lastRenderedPageBreak/>
        <w:t xml:space="preserve">Կիրառելով Օլեքսանդր Վոլկովն ընդդեմ </w:t>
      </w:r>
      <w:r w:rsidR="001D2D1C">
        <w:rPr>
          <w:rFonts w:ascii="Sylfaen" w:hAnsi="Sylfaen"/>
          <w:sz w:val="36"/>
          <w:szCs w:val="36"/>
          <w:lang w:val="hy-AM"/>
        </w:rPr>
        <w:t>Ուկ</w:t>
      </w:r>
      <w:r>
        <w:rPr>
          <w:rFonts w:ascii="Sylfaen" w:hAnsi="Sylfaen"/>
          <w:sz w:val="36"/>
          <w:szCs w:val="36"/>
          <w:lang w:val="hy-AM"/>
        </w:rPr>
        <w:t xml:space="preserve">րաինայի գործով հաստատված չափանիշը՝ Դատարանը միաձայն գտավ, որ Արդարադատության բարձրագույն </w:t>
      </w:r>
      <w:r w:rsidR="008D44B2">
        <w:rPr>
          <w:rFonts w:ascii="Sylfaen" w:hAnsi="Sylfaen"/>
          <w:sz w:val="36"/>
          <w:szCs w:val="36"/>
          <w:lang w:val="hy-AM"/>
        </w:rPr>
        <w:t>խորհու</w:t>
      </w:r>
      <w:r>
        <w:rPr>
          <w:rFonts w:ascii="Sylfaen" w:hAnsi="Sylfaen"/>
          <w:sz w:val="36"/>
          <w:szCs w:val="36"/>
          <w:lang w:val="hy-AM"/>
        </w:rPr>
        <w:t>րդը չի իրականացրել դիմողի գործի անկողմնակալ քննություն, և որ Գերագույն վարչական դատարանի կողմից համապատասխան վերանայումը</w:t>
      </w:r>
      <w:r w:rsidR="008F3603">
        <w:rPr>
          <w:rFonts w:ascii="Sylfaen" w:hAnsi="Sylfaen"/>
          <w:sz w:val="36"/>
          <w:szCs w:val="36"/>
          <w:lang w:val="hy-AM"/>
        </w:rPr>
        <w:t xml:space="preserve"> չի ուղ</w:t>
      </w:r>
      <w:r w:rsidR="00D223B5">
        <w:rPr>
          <w:rFonts w:ascii="Sylfaen" w:hAnsi="Sylfaen"/>
          <w:sz w:val="36"/>
          <w:szCs w:val="36"/>
          <w:lang w:val="hy-AM"/>
        </w:rPr>
        <w:t>ղ</w:t>
      </w:r>
      <w:r w:rsidR="008F3603">
        <w:rPr>
          <w:rFonts w:ascii="Sylfaen" w:hAnsi="Sylfaen"/>
          <w:sz w:val="36"/>
          <w:szCs w:val="36"/>
          <w:lang w:val="hy-AM"/>
        </w:rPr>
        <w:t xml:space="preserve">ել այդ թերությունները՝ ի խախտումն Կոնվենցիայի </w:t>
      </w:r>
      <w:r w:rsidR="008F3603" w:rsidRPr="006B45D8">
        <w:rPr>
          <w:rFonts w:ascii="Sylfaen" w:hAnsi="Sylfaen"/>
          <w:sz w:val="36"/>
          <w:szCs w:val="36"/>
          <w:lang w:val="hy-AM"/>
        </w:rPr>
        <w:t>6-</w:t>
      </w:r>
      <w:r w:rsidR="008F3603">
        <w:rPr>
          <w:rFonts w:ascii="Sylfaen" w:hAnsi="Sylfaen"/>
          <w:sz w:val="36"/>
          <w:szCs w:val="36"/>
          <w:lang w:val="hy-AM"/>
        </w:rPr>
        <w:t>րդ հոդվածի 1-ին մասի։</w:t>
      </w:r>
    </w:p>
    <w:p w:rsidR="008F3603" w:rsidRDefault="008F3603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8F3603" w:rsidRDefault="008F3603" w:rsidP="00F37008">
      <w:pPr>
        <w:jc w:val="both"/>
        <w:rPr>
          <w:rFonts w:ascii="Sylfaen" w:hAnsi="Sylfaen"/>
          <w:sz w:val="36"/>
          <w:szCs w:val="36"/>
          <w:lang w:val="hy-AM"/>
        </w:rPr>
      </w:pPr>
      <w:r w:rsidRPr="006B45D8">
        <w:rPr>
          <w:rFonts w:ascii="Sylfaen" w:hAnsi="Sylfaen"/>
          <w:sz w:val="36"/>
          <w:szCs w:val="36"/>
          <w:lang w:val="hy-AM"/>
        </w:rPr>
        <w:t>41</w:t>
      </w:r>
      <w:r w:rsidR="0085715F">
        <w:rPr>
          <w:rFonts w:ascii="Sylfaen" w:hAnsi="Sylfaen"/>
          <w:sz w:val="36"/>
          <w:szCs w:val="36"/>
          <w:lang w:val="hy-AM"/>
        </w:rPr>
        <w:t xml:space="preserve">-րդ հոդված - </w:t>
      </w:r>
      <w:r w:rsidRPr="006B45D8">
        <w:rPr>
          <w:rFonts w:ascii="Sylfaen" w:hAnsi="Sylfaen"/>
          <w:sz w:val="36"/>
          <w:szCs w:val="36"/>
          <w:lang w:val="hy-AM"/>
        </w:rPr>
        <w:t xml:space="preserve">3,000 </w:t>
      </w:r>
      <w:r>
        <w:rPr>
          <w:rFonts w:ascii="Sylfaen" w:hAnsi="Sylfaen"/>
          <w:sz w:val="36"/>
          <w:szCs w:val="36"/>
          <w:lang w:val="hy-AM"/>
        </w:rPr>
        <w:t>եվրո՝ ոչ նյութական վնասի համար</w:t>
      </w:r>
    </w:p>
    <w:p w:rsidR="008F3603" w:rsidRDefault="008F3603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8F3603" w:rsidRDefault="008F3603" w:rsidP="00F37008">
      <w:pPr>
        <w:pBdr>
          <w:bottom w:val="single" w:sz="12" w:space="1" w:color="auto"/>
        </w:pBdr>
        <w:jc w:val="both"/>
        <w:rPr>
          <w:rFonts w:ascii="Sylfaen" w:hAnsi="Sylfaen"/>
          <w:sz w:val="36"/>
          <w:szCs w:val="36"/>
          <w:lang w:val="hy-AM"/>
        </w:rPr>
      </w:pPr>
      <w:r w:rsidRPr="006B45D8">
        <w:rPr>
          <w:rFonts w:ascii="Sylfaen" w:hAnsi="Sylfaen"/>
          <w:sz w:val="36"/>
          <w:szCs w:val="36"/>
          <w:lang w:val="hy-AM"/>
        </w:rPr>
        <w:t>(Տես՝ Գիլբերգն ընդդեմ Շվեդիայի [GC], 41723/06, 2012</w:t>
      </w:r>
      <w:r>
        <w:rPr>
          <w:rFonts w:ascii="Sylfaen" w:hAnsi="Sylfaen"/>
          <w:sz w:val="36"/>
          <w:szCs w:val="36"/>
          <w:lang w:val="hy-AM"/>
        </w:rPr>
        <w:t xml:space="preserve"> թվականի ապրիլի</w:t>
      </w:r>
      <w:r w:rsidRPr="006B45D8">
        <w:rPr>
          <w:rFonts w:ascii="Sylfaen" w:hAnsi="Sylfaen"/>
          <w:sz w:val="36"/>
          <w:szCs w:val="36"/>
          <w:lang w:val="hy-AM"/>
        </w:rPr>
        <w:t xml:space="preserve"> 3, Information Note 151; </w:t>
      </w:r>
      <w:r>
        <w:rPr>
          <w:rFonts w:ascii="Sylfaen" w:hAnsi="Sylfaen"/>
          <w:sz w:val="36"/>
          <w:szCs w:val="36"/>
          <w:lang w:val="hy-AM"/>
        </w:rPr>
        <w:t xml:space="preserve">և Օլեքսանդր Վոլկովն ընդդեմ Ուկրաինայի, </w:t>
      </w:r>
      <w:r w:rsidRPr="006B45D8">
        <w:rPr>
          <w:rFonts w:ascii="Sylfaen" w:hAnsi="Sylfaen"/>
          <w:sz w:val="36"/>
          <w:szCs w:val="36"/>
          <w:lang w:val="hy-AM"/>
        </w:rPr>
        <w:t xml:space="preserve">21722/11, 2013 </w:t>
      </w:r>
      <w:r>
        <w:rPr>
          <w:rFonts w:ascii="Sylfaen" w:hAnsi="Sylfaen"/>
          <w:sz w:val="36"/>
          <w:szCs w:val="36"/>
          <w:lang w:val="hy-AM"/>
        </w:rPr>
        <w:t xml:space="preserve">թվականի հունվարի </w:t>
      </w:r>
      <w:r w:rsidRPr="006B45D8">
        <w:rPr>
          <w:rFonts w:ascii="Sylfaen" w:hAnsi="Sylfaen"/>
          <w:sz w:val="36"/>
          <w:szCs w:val="36"/>
          <w:lang w:val="hy-AM"/>
        </w:rPr>
        <w:t xml:space="preserve">9, Information Note 159, </w:t>
      </w:r>
      <w:r>
        <w:rPr>
          <w:rFonts w:ascii="Sylfaen" w:hAnsi="Sylfaen"/>
          <w:sz w:val="36"/>
          <w:szCs w:val="36"/>
          <w:lang w:val="hy-AM"/>
        </w:rPr>
        <w:t xml:space="preserve">տես, նաև՝ Էռմենիլն ընդդեմ Հունգարիայի, </w:t>
      </w:r>
      <w:r w:rsidRPr="006B45D8">
        <w:rPr>
          <w:rFonts w:ascii="Sylfaen" w:hAnsi="Sylfaen"/>
          <w:sz w:val="36"/>
          <w:szCs w:val="36"/>
          <w:lang w:val="hy-AM"/>
        </w:rPr>
        <w:t xml:space="preserve">22254/14, 2016 </w:t>
      </w:r>
      <w:r>
        <w:rPr>
          <w:rFonts w:ascii="Sylfaen" w:hAnsi="Sylfaen"/>
          <w:sz w:val="36"/>
          <w:szCs w:val="36"/>
          <w:lang w:val="hy-AM"/>
        </w:rPr>
        <w:t xml:space="preserve">թվականի նոյեմբերի </w:t>
      </w:r>
      <w:r w:rsidRPr="006B45D8">
        <w:rPr>
          <w:rFonts w:ascii="Sylfaen" w:hAnsi="Sylfaen"/>
          <w:sz w:val="36"/>
          <w:szCs w:val="36"/>
          <w:lang w:val="hy-AM"/>
        </w:rPr>
        <w:t>22)</w:t>
      </w:r>
      <w:r>
        <w:rPr>
          <w:rFonts w:ascii="Sylfaen" w:hAnsi="Sylfaen"/>
          <w:sz w:val="36"/>
          <w:szCs w:val="36"/>
          <w:lang w:val="hy-AM"/>
        </w:rPr>
        <w:t>։</w:t>
      </w:r>
    </w:p>
    <w:p w:rsidR="00F0779A" w:rsidRDefault="00F0779A" w:rsidP="00F37008">
      <w:pPr>
        <w:pBdr>
          <w:bottom w:val="single" w:sz="12" w:space="1" w:color="auto"/>
        </w:pBdr>
        <w:jc w:val="both"/>
        <w:rPr>
          <w:rFonts w:ascii="Sylfaen" w:hAnsi="Sylfaen"/>
          <w:sz w:val="36"/>
          <w:szCs w:val="36"/>
          <w:lang w:val="hy-AM"/>
        </w:rPr>
      </w:pPr>
    </w:p>
    <w:p w:rsidR="00F0779A" w:rsidRDefault="00F0779A" w:rsidP="00F37008">
      <w:pPr>
        <w:pBdr>
          <w:bottom w:val="single" w:sz="12" w:space="1" w:color="auto"/>
        </w:pBdr>
        <w:jc w:val="both"/>
        <w:rPr>
          <w:rFonts w:ascii="Sylfaen" w:hAnsi="Sylfaen"/>
          <w:sz w:val="36"/>
          <w:szCs w:val="36"/>
          <w:lang w:val="hy-AM"/>
        </w:rPr>
      </w:pPr>
    </w:p>
    <w:p w:rsidR="008F3603" w:rsidRPr="001A393F" w:rsidRDefault="008F3603" w:rsidP="00F37008">
      <w:pPr>
        <w:pStyle w:val="ClinFooter"/>
        <w:jc w:val="both"/>
        <w:rPr>
          <w:sz w:val="32"/>
          <w:szCs w:val="32"/>
        </w:rPr>
      </w:pPr>
      <w:bookmarkStart w:id="0" w:name="_GoBack"/>
      <w:bookmarkEnd w:id="0"/>
      <w:r w:rsidRPr="001A393F">
        <w:rPr>
          <w:sz w:val="32"/>
          <w:szCs w:val="32"/>
        </w:rPr>
        <w:t>© Council of Europe/European Court of Human Rights</w:t>
      </w:r>
      <w:r w:rsidRPr="001A393F">
        <w:rPr>
          <w:sz w:val="32"/>
          <w:szCs w:val="32"/>
        </w:rPr>
        <w:br/>
        <w:t>This summary by the Registry does not bind the Court.</w:t>
      </w:r>
    </w:p>
    <w:p w:rsidR="008F3603" w:rsidRPr="008F3603" w:rsidRDefault="008F3603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8F3603" w:rsidRPr="008F3603" w:rsidRDefault="008F3603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B90240" w:rsidRPr="00B90240" w:rsidRDefault="00B90240" w:rsidP="00F37008">
      <w:pPr>
        <w:jc w:val="both"/>
        <w:rPr>
          <w:rFonts w:ascii="Sylfaen" w:hAnsi="Sylfaen"/>
          <w:sz w:val="36"/>
          <w:szCs w:val="36"/>
        </w:rPr>
      </w:pPr>
    </w:p>
    <w:p w:rsidR="008B2D29" w:rsidRDefault="008B2D29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p w:rsidR="008B2D29" w:rsidRPr="00771B13" w:rsidRDefault="008B2D29" w:rsidP="00F37008">
      <w:pPr>
        <w:jc w:val="both"/>
        <w:rPr>
          <w:rFonts w:ascii="Sylfaen" w:hAnsi="Sylfaen"/>
          <w:sz w:val="36"/>
          <w:szCs w:val="36"/>
          <w:lang w:val="hy-AM"/>
        </w:rPr>
      </w:pPr>
    </w:p>
    <w:sectPr w:rsidR="008B2D29" w:rsidRPr="00771B13" w:rsidSect="00107E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41CB3"/>
    <w:rsid w:val="000B162C"/>
    <w:rsid w:val="000D20AB"/>
    <w:rsid w:val="00107E34"/>
    <w:rsid w:val="00172234"/>
    <w:rsid w:val="001D2D1C"/>
    <w:rsid w:val="002024C9"/>
    <w:rsid w:val="00204C9F"/>
    <w:rsid w:val="0022288E"/>
    <w:rsid w:val="00264A6C"/>
    <w:rsid w:val="00340360"/>
    <w:rsid w:val="0035197F"/>
    <w:rsid w:val="00395D7A"/>
    <w:rsid w:val="004C6D04"/>
    <w:rsid w:val="004E3783"/>
    <w:rsid w:val="004F2344"/>
    <w:rsid w:val="00547024"/>
    <w:rsid w:val="005C2555"/>
    <w:rsid w:val="00620411"/>
    <w:rsid w:val="0069627E"/>
    <w:rsid w:val="00697217"/>
    <w:rsid w:val="006B45D8"/>
    <w:rsid w:val="006C742E"/>
    <w:rsid w:val="007264BC"/>
    <w:rsid w:val="00742EC5"/>
    <w:rsid w:val="00771B13"/>
    <w:rsid w:val="007A320A"/>
    <w:rsid w:val="007D698B"/>
    <w:rsid w:val="0085715F"/>
    <w:rsid w:val="008A05FB"/>
    <w:rsid w:val="008B2D29"/>
    <w:rsid w:val="008D44B2"/>
    <w:rsid w:val="008F3603"/>
    <w:rsid w:val="00951A23"/>
    <w:rsid w:val="00962420"/>
    <w:rsid w:val="009B7335"/>
    <w:rsid w:val="009F0601"/>
    <w:rsid w:val="00A01DAA"/>
    <w:rsid w:val="00A41CB3"/>
    <w:rsid w:val="00A456FD"/>
    <w:rsid w:val="00A55345"/>
    <w:rsid w:val="00B22E88"/>
    <w:rsid w:val="00B34A2D"/>
    <w:rsid w:val="00B90240"/>
    <w:rsid w:val="00C05D68"/>
    <w:rsid w:val="00C57139"/>
    <w:rsid w:val="00C91CC5"/>
    <w:rsid w:val="00CB4CE9"/>
    <w:rsid w:val="00CC3D6B"/>
    <w:rsid w:val="00D202B3"/>
    <w:rsid w:val="00D223B5"/>
    <w:rsid w:val="00DF4B42"/>
    <w:rsid w:val="00E60E9F"/>
    <w:rsid w:val="00EA5ECD"/>
    <w:rsid w:val="00F0779A"/>
    <w:rsid w:val="00F25F4E"/>
    <w:rsid w:val="00F27363"/>
    <w:rsid w:val="00F37008"/>
    <w:rsid w:val="00FA3BB0"/>
    <w:rsid w:val="00FD2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inFooter">
    <w:name w:val="ClinFooter"/>
    <w:basedOn w:val="a"/>
    <w:qFormat/>
    <w:rsid w:val="008F3603"/>
    <w:pPr>
      <w:spacing w:before="240"/>
      <w:jc w:val="center"/>
    </w:pPr>
    <w:rPr>
      <w:rFonts w:ascii="Verdana" w:eastAsia="Times New Roman" w:hAnsi="Verdana" w:cs="Times New Roman"/>
      <w:sz w:val="20"/>
      <w:lang w:val="en-GB" w:eastAsia="en-GB"/>
    </w:rPr>
  </w:style>
  <w:style w:type="paragraph" w:customStyle="1" w:styleId="s7d81cfef">
    <w:name w:val="s7d81cfef"/>
    <w:basedOn w:val="a"/>
    <w:rsid w:val="00F0779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fbbfee58">
    <w:name w:val="sfbbfee58"/>
    <w:basedOn w:val="a0"/>
    <w:rsid w:val="00F0779A"/>
  </w:style>
  <w:style w:type="paragraph" w:customStyle="1" w:styleId="s68afa200">
    <w:name w:val="s68afa200"/>
    <w:basedOn w:val="a"/>
    <w:rsid w:val="00F077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IP142</cp:lastModifiedBy>
  <cp:revision>21</cp:revision>
  <dcterms:created xsi:type="dcterms:W3CDTF">2020-03-05T18:13:00Z</dcterms:created>
  <dcterms:modified xsi:type="dcterms:W3CDTF">2020-03-09T06:04:00Z</dcterms:modified>
</cp:coreProperties>
</file>